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6C500" w14:textId="77777777" w:rsidR="00EC3C54" w:rsidRDefault="00EC3C54">
      <w:pPr>
        <w:spacing w:line="276" w:lineRule="auto"/>
        <w:rPr>
          <w:rFonts w:cs="Times New Roman"/>
        </w:rPr>
      </w:pPr>
    </w:p>
    <w:p w14:paraId="52D6C501" w14:textId="77777777" w:rsidR="00EC3C54" w:rsidRDefault="00EC3C54">
      <w:pPr>
        <w:spacing w:line="276" w:lineRule="auto"/>
        <w:rPr>
          <w:rFonts w:cs="Times New Roman"/>
        </w:rPr>
      </w:pPr>
    </w:p>
    <w:p w14:paraId="52D6C502" w14:textId="77777777" w:rsidR="00EC3C54" w:rsidRDefault="007311F2">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276" w:lineRule="auto"/>
        <w:jc w:val="center"/>
        <w:rPr>
          <w:rFonts w:cs="Times New Roman"/>
          <w:b/>
          <w:sz w:val="72"/>
          <w:szCs w:val="32"/>
        </w:rPr>
      </w:pPr>
      <w:r>
        <w:rPr>
          <w:rFonts w:cs="Times New Roman"/>
        </w:rPr>
        <w:tab/>
      </w:r>
      <w:r>
        <w:rPr>
          <w:rFonts w:cs="Times New Roman"/>
          <w:b/>
          <w:sz w:val="72"/>
          <w:szCs w:val="32"/>
        </w:rPr>
        <w:t>Techninė specifikacija</w:t>
      </w:r>
    </w:p>
    <w:p w14:paraId="52D6C503" w14:textId="77777777" w:rsidR="00EC3C54" w:rsidRDefault="00EC3C5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276" w:lineRule="auto"/>
        <w:jc w:val="center"/>
        <w:rPr>
          <w:rFonts w:cs="Times New Roman"/>
          <w:b/>
          <w:sz w:val="36"/>
          <w:szCs w:val="36"/>
        </w:rPr>
      </w:pPr>
    </w:p>
    <w:p w14:paraId="52D6C504" w14:textId="63BBC6D5" w:rsidR="00EC3C54" w:rsidRDefault="007311F2">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276" w:lineRule="auto"/>
        <w:jc w:val="center"/>
        <w:rPr>
          <w:rFonts w:cs="Times New Roman"/>
          <w:b/>
          <w:sz w:val="36"/>
          <w:szCs w:val="36"/>
        </w:rPr>
      </w:pPr>
      <w:r>
        <w:rPr>
          <w:rFonts w:cs="Times New Roman"/>
          <w:b/>
          <w:sz w:val="36"/>
          <w:szCs w:val="36"/>
        </w:rPr>
        <w:t xml:space="preserve">Operatyvinio planavimo </w:t>
      </w:r>
      <w:r w:rsidR="00E1774E">
        <w:rPr>
          <w:rFonts w:cs="Times New Roman"/>
          <w:b/>
          <w:sz w:val="36"/>
          <w:szCs w:val="36"/>
        </w:rPr>
        <w:t xml:space="preserve">IT sprendimų analizė ir konsultacinės paslaugos </w:t>
      </w:r>
    </w:p>
    <w:p w14:paraId="52D6C505" w14:textId="77777777" w:rsidR="00EC3C54" w:rsidRDefault="007311F2">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276" w:lineRule="auto"/>
        <w:jc w:val="center"/>
        <w:rPr>
          <w:rFonts w:cs="Times New Roman"/>
          <w:b/>
          <w:sz w:val="36"/>
          <w:szCs w:val="36"/>
        </w:rPr>
      </w:pPr>
      <w:r>
        <w:rPr>
          <w:rFonts w:cs="Times New Roman"/>
          <w:b/>
          <w:sz w:val="36"/>
          <w:szCs w:val="36"/>
        </w:rPr>
        <w:t>Techniniai reikalavimai</w:t>
      </w:r>
    </w:p>
    <w:p w14:paraId="52D6C506" w14:textId="77777777" w:rsidR="00EC3C54" w:rsidRDefault="00EC3C5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276" w:lineRule="auto"/>
        <w:jc w:val="center"/>
        <w:rPr>
          <w:rFonts w:cs="Times New Roman"/>
          <w:b/>
          <w:sz w:val="72"/>
          <w:szCs w:val="32"/>
        </w:rPr>
      </w:pPr>
    </w:p>
    <w:p w14:paraId="52D6C507" w14:textId="77777777" w:rsidR="00EC3C54" w:rsidRPr="00990352" w:rsidRDefault="007311F2" w:rsidP="00990352">
      <w:pPr>
        <w:jc w:val="right"/>
        <w:rPr>
          <w:b/>
          <w:bCs/>
          <w:sz w:val="32"/>
          <w:szCs w:val="32"/>
        </w:rPr>
      </w:pPr>
      <w:r w:rsidRPr="00990352">
        <w:rPr>
          <w:b/>
          <w:bCs/>
          <w:sz w:val="32"/>
          <w:szCs w:val="32"/>
        </w:rPr>
        <w:t>Versija 1.0</w:t>
      </w:r>
    </w:p>
    <w:p w14:paraId="52D6C508" w14:textId="77777777" w:rsidR="00EC3C54" w:rsidRDefault="00EC3C54" w:rsidP="00990352"/>
    <w:p w14:paraId="52D6C509" w14:textId="77777777" w:rsidR="00EC3C54" w:rsidRDefault="00EC3C54" w:rsidP="00990352"/>
    <w:p w14:paraId="52D6C50A" w14:textId="77777777" w:rsidR="00EC3C54" w:rsidRDefault="00EC3C54" w:rsidP="00990352"/>
    <w:p w14:paraId="52D6C50B" w14:textId="77777777" w:rsidR="00EC3C54" w:rsidRDefault="00EC3C54" w:rsidP="00990352"/>
    <w:p w14:paraId="52D6C50C" w14:textId="77777777" w:rsidR="00EC3C54" w:rsidRDefault="00EC3C54" w:rsidP="00990352"/>
    <w:p w14:paraId="52D6C50D" w14:textId="77777777" w:rsidR="00EC3C54" w:rsidRDefault="00EC3C54" w:rsidP="00990352"/>
    <w:p w14:paraId="52D6C50E" w14:textId="77777777" w:rsidR="00EC3C54" w:rsidRDefault="00EC3C54" w:rsidP="00990352"/>
    <w:p w14:paraId="52D6C50F" w14:textId="77777777" w:rsidR="00EC3C54" w:rsidRDefault="00EC3C54" w:rsidP="00990352"/>
    <w:p w14:paraId="52D6C510" w14:textId="77777777" w:rsidR="00EC3C54" w:rsidRDefault="00EC3C54" w:rsidP="00990352"/>
    <w:p w14:paraId="52D6C511" w14:textId="77777777" w:rsidR="00EC3C54" w:rsidRDefault="00EC3C54" w:rsidP="00990352"/>
    <w:p w14:paraId="52D6C512" w14:textId="77777777" w:rsidR="00EC3C54" w:rsidRDefault="00EC3C54" w:rsidP="00990352"/>
    <w:p w14:paraId="52D6C513" w14:textId="77777777" w:rsidR="00EC3C54" w:rsidRDefault="00EC3C54" w:rsidP="00990352"/>
    <w:p w14:paraId="17817166" w14:textId="77777777" w:rsidR="002F32FD" w:rsidRDefault="002F32FD">
      <w:pPr>
        <w:pStyle w:val="Heading1"/>
      </w:pPr>
      <w:r>
        <w:br w:type="page"/>
      </w:r>
    </w:p>
    <w:p w14:paraId="52D6C514" w14:textId="17A10675" w:rsidR="00EC3C54" w:rsidRDefault="007311F2">
      <w:pPr>
        <w:pStyle w:val="Heading1"/>
      </w:pPr>
      <w:r>
        <w:lastRenderedPageBreak/>
        <w:t>Terminų ir sąvokų lentelė</w:t>
      </w:r>
    </w:p>
    <w:p w14:paraId="52D6C515" w14:textId="77777777" w:rsidR="00EC3C54" w:rsidRDefault="00EC3C54">
      <w:pPr>
        <w:rPr>
          <w:rFonts w:ascii="Arial" w:hAnsi="Arial" w:cs="Arial"/>
          <w:sz w:val="18"/>
          <w:szCs w:val="18"/>
        </w:rPr>
      </w:pPr>
    </w:p>
    <w:tbl>
      <w:tblPr>
        <w:tblW w:w="8440" w:type="dxa"/>
        <w:tblLook w:val="04A0" w:firstRow="1" w:lastRow="0" w:firstColumn="1" w:lastColumn="0" w:noHBand="0" w:noVBand="1"/>
      </w:tblPr>
      <w:tblGrid>
        <w:gridCol w:w="1720"/>
        <w:gridCol w:w="6720"/>
      </w:tblGrid>
      <w:tr w:rsidR="001D21EC" w14:paraId="77AEF19C"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hideMark/>
          </w:tcPr>
          <w:p w14:paraId="21495078" w14:textId="77777777" w:rsidR="001D21EC" w:rsidRDefault="001D21EC">
            <w:pPr>
              <w:spacing w:after="0" w:line="240" w:lineRule="auto"/>
              <w:rPr>
                <w:rFonts w:ascii="Aptos Narrow" w:eastAsia="Times New Roman" w:hAnsi="Aptos Narrow" w:cs="Times New Roman"/>
                <w:b/>
                <w:color w:val="000000"/>
              </w:rPr>
            </w:pPr>
            <w:r>
              <w:rPr>
                <w:rFonts w:ascii="Aptos Narrow" w:eastAsia="Times New Roman" w:hAnsi="Aptos Narrow" w:cs="Times New Roman"/>
                <w:b/>
                <w:color w:val="000000"/>
              </w:rPr>
              <w:t>Trumpinys</w:t>
            </w:r>
          </w:p>
        </w:tc>
        <w:tc>
          <w:tcPr>
            <w:tcW w:w="6720" w:type="dxa"/>
            <w:tcBorders>
              <w:top w:val="single" w:sz="4" w:space="0" w:color="auto"/>
              <w:left w:val="nil"/>
              <w:bottom w:val="single" w:sz="4" w:space="0" w:color="auto"/>
              <w:right w:val="single" w:sz="4" w:space="0" w:color="auto"/>
            </w:tcBorders>
            <w:vAlign w:val="bottom"/>
            <w:hideMark/>
          </w:tcPr>
          <w:p w14:paraId="14A0CB96" w14:textId="77777777" w:rsidR="001D21EC" w:rsidRDefault="001D21EC">
            <w:pPr>
              <w:spacing w:after="0" w:line="240" w:lineRule="auto"/>
              <w:rPr>
                <w:rFonts w:ascii="Aptos Narrow" w:eastAsia="Times New Roman" w:hAnsi="Aptos Narrow" w:cs="Times New Roman"/>
                <w:b/>
                <w:color w:val="000000"/>
              </w:rPr>
            </w:pPr>
            <w:r>
              <w:rPr>
                <w:rFonts w:ascii="Aptos Narrow" w:eastAsia="Times New Roman" w:hAnsi="Aptos Narrow" w:cs="Times New Roman"/>
                <w:b/>
                <w:color w:val="000000"/>
              </w:rPr>
              <w:t>Reikšmė</w:t>
            </w:r>
          </w:p>
        </w:tc>
      </w:tr>
      <w:tr w:rsidR="001D21EC" w14:paraId="129D0905"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0D77EFC0"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Bizagi Modeler</w:t>
            </w:r>
          </w:p>
        </w:tc>
        <w:tc>
          <w:tcPr>
            <w:tcW w:w="6720" w:type="dxa"/>
            <w:tcBorders>
              <w:top w:val="single" w:sz="4" w:space="0" w:color="auto"/>
              <w:left w:val="nil"/>
              <w:bottom w:val="single" w:sz="4" w:space="0" w:color="auto"/>
              <w:right w:val="single" w:sz="4" w:space="0" w:color="auto"/>
            </w:tcBorders>
            <w:vAlign w:val="bottom"/>
          </w:tcPr>
          <w:p w14:paraId="4D3558D0"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Verslo procesų modeliavimo programa, pagrįsta tarptautiniu BPMN 2.0 standartu</w:t>
            </w:r>
          </w:p>
        </w:tc>
      </w:tr>
      <w:tr w:rsidR="001D21EC" w14:paraId="0850360B"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2D6FB60C" w14:textId="77777777" w:rsidR="001D21EC" w:rsidRDefault="001D21EC">
            <w:pPr>
              <w:spacing w:after="0" w:line="240" w:lineRule="auto"/>
              <w:rPr>
                <w:rFonts w:ascii="Aptos Narrow" w:eastAsia="Times New Roman" w:hAnsi="Aptos Narrow" w:cs="Times New Roman"/>
                <w:color w:val="000000"/>
                <w:lang w:val="en-US"/>
              </w:rPr>
            </w:pPr>
            <w:r>
              <w:rPr>
                <w:rFonts w:ascii="Aptos Narrow" w:eastAsia="Times New Roman" w:hAnsi="Aptos Narrow" w:cs="Times New Roman"/>
                <w:color w:val="000000"/>
                <w:lang w:val="en-US"/>
              </w:rPr>
              <w:t>CACM</w:t>
            </w:r>
          </w:p>
        </w:tc>
        <w:tc>
          <w:tcPr>
            <w:tcW w:w="6720" w:type="dxa"/>
            <w:tcBorders>
              <w:top w:val="single" w:sz="4" w:space="0" w:color="auto"/>
              <w:left w:val="nil"/>
              <w:bottom w:val="single" w:sz="4" w:space="0" w:color="auto"/>
              <w:right w:val="single" w:sz="4" w:space="0" w:color="auto"/>
            </w:tcBorders>
            <w:vAlign w:val="bottom"/>
          </w:tcPr>
          <w:p w14:paraId="31A7AACD" w14:textId="77777777" w:rsidR="001D21EC" w:rsidRDefault="001D21EC">
            <w:pPr>
              <w:spacing w:after="0" w:line="240" w:lineRule="auto"/>
              <w:rPr>
                <w:rFonts w:ascii="Aptos Narrow" w:eastAsia="Times New Roman" w:hAnsi="Aptos Narrow" w:cs="Times New Roman"/>
                <w:i/>
                <w:iCs/>
                <w:color w:val="000000"/>
                <w:lang w:val="en-US"/>
              </w:rPr>
            </w:pPr>
            <w:r>
              <w:rPr>
                <w:rFonts w:ascii="Aptos Narrow" w:eastAsia="Times New Roman" w:hAnsi="Aptos Narrow" w:cs="Times New Roman"/>
                <w:i/>
                <w:iCs/>
                <w:color w:val="000000"/>
                <w:lang w:val="en-US"/>
              </w:rPr>
              <w:t>Capacity Allocation and Congestion Management Regulation, privalomas reglamentas nustatantis tarpvalstybinių pralaidumų skaičiavimo ir rinkos mechanizmų taisykles.</w:t>
            </w:r>
          </w:p>
        </w:tc>
      </w:tr>
      <w:tr w:rsidR="001D21EC" w14:paraId="4B1ECF3F"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083606FC"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CGM</w:t>
            </w:r>
          </w:p>
        </w:tc>
        <w:tc>
          <w:tcPr>
            <w:tcW w:w="6720" w:type="dxa"/>
            <w:tcBorders>
              <w:top w:val="single" w:sz="4" w:space="0" w:color="auto"/>
              <w:left w:val="nil"/>
              <w:bottom w:val="single" w:sz="4" w:space="0" w:color="auto"/>
              <w:right w:val="single" w:sz="4" w:space="0" w:color="auto"/>
            </w:tcBorders>
            <w:vAlign w:val="bottom"/>
          </w:tcPr>
          <w:p w14:paraId="1BB6B3DC"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ENTSO-E bendrasis duomenų rinkinys, jungiantis atskirų PSO parengtus individualius tinklo modelius (angl. Common Grid Model)</w:t>
            </w:r>
          </w:p>
        </w:tc>
      </w:tr>
      <w:tr w:rsidR="001D21EC" w14:paraId="10FD05CF"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780172EF"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CMMI</w:t>
            </w:r>
          </w:p>
        </w:tc>
        <w:tc>
          <w:tcPr>
            <w:tcW w:w="6720" w:type="dxa"/>
            <w:tcBorders>
              <w:top w:val="single" w:sz="4" w:space="0" w:color="auto"/>
              <w:left w:val="nil"/>
              <w:bottom w:val="single" w:sz="4" w:space="0" w:color="auto"/>
              <w:right w:val="single" w:sz="4" w:space="0" w:color="auto"/>
            </w:tcBorders>
            <w:vAlign w:val="bottom"/>
          </w:tcPr>
          <w:p w14:paraId="6AA32CDD"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Procesų tobulinimo modelis (angl. </w:t>
            </w:r>
            <w:r>
              <w:rPr>
                <w:rFonts w:ascii="Aptos Narrow" w:eastAsia="Times New Roman" w:hAnsi="Aptos Narrow" w:cs="Times New Roman"/>
                <w:i/>
                <w:iCs/>
                <w:color w:val="000000"/>
              </w:rPr>
              <w:t>Capability Maturity Model Integration</w:t>
            </w:r>
            <w:r>
              <w:rPr>
                <w:rFonts w:ascii="Aptos Narrow" w:eastAsia="Times New Roman" w:hAnsi="Aptos Narrow" w:cs="Times New Roman"/>
                <w:color w:val="000000"/>
              </w:rPr>
              <w:t xml:space="preserve">)  </w:t>
            </w:r>
          </w:p>
        </w:tc>
      </w:tr>
      <w:tr w:rsidR="001D21EC" w14:paraId="0A90F015"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55D4A2C6"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COBIT</w:t>
            </w:r>
          </w:p>
        </w:tc>
        <w:tc>
          <w:tcPr>
            <w:tcW w:w="6720" w:type="dxa"/>
            <w:tcBorders>
              <w:top w:val="single" w:sz="4" w:space="0" w:color="auto"/>
              <w:left w:val="nil"/>
              <w:bottom w:val="single" w:sz="4" w:space="0" w:color="auto"/>
              <w:right w:val="single" w:sz="4" w:space="0" w:color="auto"/>
            </w:tcBorders>
            <w:vAlign w:val="bottom"/>
          </w:tcPr>
          <w:p w14:paraId="59757832"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 xml:space="preserve">Informacinių technologijų (IT) valdymo ir kontrolės bendrasis modelis (angl. Control Objectives for Information and Related Technologies) </w:t>
            </w:r>
          </w:p>
        </w:tc>
      </w:tr>
      <w:tr w:rsidR="001D21EC" w14:paraId="26A203F9"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755707E7" w14:textId="77777777" w:rsidR="001D21EC" w:rsidRDefault="001D21EC">
            <w:pPr>
              <w:spacing w:after="0" w:line="240" w:lineRule="auto"/>
              <w:rPr>
                <w:rFonts w:ascii="Aptos Narrow" w:eastAsia="Times New Roman" w:hAnsi="Aptos Narrow" w:cs="Times New Roman"/>
                <w:color w:val="000000"/>
                <w:lang w:val="en-US"/>
              </w:rPr>
            </w:pPr>
            <w:r>
              <w:rPr>
                <w:rFonts w:ascii="Aptos Narrow" w:eastAsia="Times New Roman" w:hAnsi="Aptos Narrow" w:cs="Times New Roman"/>
                <w:color w:val="000000"/>
                <w:lang w:val="en-US"/>
              </w:rPr>
              <w:t>CSAM</w:t>
            </w:r>
          </w:p>
        </w:tc>
        <w:tc>
          <w:tcPr>
            <w:tcW w:w="6720" w:type="dxa"/>
            <w:tcBorders>
              <w:top w:val="single" w:sz="4" w:space="0" w:color="auto"/>
              <w:left w:val="nil"/>
              <w:bottom w:val="single" w:sz="4" w:space="0" w:color="auto"/>
              <w:right w:val="single" w:sz="4" w:space="0" w:color="auto"/>
            </w:tcBorders>
            <w:vAlign w:val="bottom"/>
          </w:tcPr>
          <w:p w14:paraId="26D7248D" w14:textId="77777777" w:rsidR="001D21EC" w:rsidRDefault="001D21EC">
            <w:pPr>
              <w:spacing w:after="0" w:line="240" w:lineRule="auto"/>
              <w:rPr>
                <w:rFonts w:ascii="Aptos Narrow" w:eastAsia="Times New Roman" w:hAnsi="Aptos Narrow" w:cs="Times New Roman"/>
                <w:i/>
                <w:iCs/>
                <w:color w:val="000000"/>
                <w:lang w:val="en-US"/>
              </w:rPr>
            </w:pPr>
            <w:r>
              <w:rPr>
                <w:rFonts w:ascii="Aptos Narrow" w:eastAsia="Times New Roman" w:hAnsi="Aptos Narrow" w:cs="Times New Roman"/>
                <w:i/>
                <w:iCs/>
                <w:color w:val="000000"/>
                <w:lang w:val="en-US"/>
              </w:rPr>
              <w:t>Coordinated Operational Security Analysis Methodology, reglamentuojanti N</w:t>
            </w:r>
            <w:r>
              <w:rPr>
                <w:rFonts w:ascii="Aptos Narrow" w:eastAsia="Times New Roman" w:hAnsi="Aptos Narrow" w:cs="Times New Roman"/>
                <w:i/>
                <w:iCs/>
                <w:color w:val="000000"/>
                <w:lang w:val="en-US"/>
              </w:rPr>
              <w:noBreakHyphen/>
              <w:t>1 analizę ir operacinio saugumo vertinimą pagal SO GL 24–37 straipsnius.</w:t>
            </w:r>
          </w:p>
        </w:tc>
      </w:tr>
      <w:tr w:rsidR="001D21EC" w14:paraId="752DA8E6" w14:textId="77777777">
        <w:trPr>
          <w:trHeight w:val="580"/>
        </w:trPr>
        <w:tc>
          <w:tcPr>
            <w:tcW w:w="1720" w:type="dxa"/>
            <w:tcBorders>
              <w:top w:val="nil"/>
              <w:left w:val="single" w:sz="4" w:space="0" w:color="auto"/>
              <w:bottom w:val="single" w:sz="4" w:space="0" w:color="auto"/>
              <w:right w:val="single" w:sz="4" w:space="0" w:color="auto"/>
            </w:tcBorders>
            <w:vAlign w:val="bottom"/>
            <w:hideMark/>
          </w:tcPr>
          <w:p w14:paraId="307F3DA0"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CSV/XLSX</w:t>
            </w:r>
          </w:p>
        </w:tc>
        <w:tc>
          <w:tcPr>
            <w:tcW w:w="6720" w:type="dxa"/>
            <w:tcBorders>
              <w:top w:val="nil"/>
              <w:left w:val="nil"/>
              <w:bottom w:val="single" w:sz="4" w:space="0" w:color="auto"/>
              <w:right w:val="single" w:sz="4" w:space="0" w:color="auto"/>
            </w:tcBorders>
            <w:vAlign w:val="bottom"/>
            <w:hideMark/>
          </w:tcPr>
          <w:p w14:paraId="1C6BF89F"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Duomenų mainų formatai (angl. CSV - Comma-Separated Values , XLSX – „Excel“ formatas)</w:t>
            </w:r>
          </w:p>
        </w:tc>
      </w:tr>
      <w:tr w:rsidR="001D21EC" w14:paraId="093749E6"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73B58825"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CVP IS</w:t>
            </w:r>
          </w:p>
        </w:tc>
        <w:tc>
          <w:tcPr>
            <w:tcW w:w="6720" w:type="dxa"/>
            <w:tcBorders>
              <w:top w:val="single" w:sz="4" w:space="0" w:color="auto"/>
              <w:left w:val="nil"/>
              <w:bottom w:val="single" w:sz="4" w:space="0" w:color="auto"/>
              <w:right w:val="single" w:sz="4" w:space="0" w:color="auto"/>
            </w:tcBorders>
            <w:vAlign w:val="bottom"/>
          </w:tcPr>
          <w:p w14:paraId="1634F8BE"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Centrinė viešųjų pirkimų informacinė sistema</w:t>
            </w:r>
          </w:p>
        </w:tc>
      </w:tr>
      <w:tr w:rsidR="001D21EC" w14:paraId="14BC20B4"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291AAADD"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D-1</w:t>
            </w:r>
          </w:p>
        </w:tc>
        <w:tc>
          <w:tcPr>
            <w:tcW w:w="6720" w:type="dxa"/>
            <w:tcBorders>
              <w:top w:val="single" w:sz="4" w:space="0" w:color="auto"/>
              <w:left w:val="nil"/>
              <w:bottom w:val="single" w:sz="4" w:space="0" w:color="auto"/>
              <w:right w:val="single" w:sz="4" w:space="0" w:color="auto"/>
            </w:tcBorders>
            <w:vAlign w:val="bottom"/>
          </w:tcPr>
          <w:p w14:paraId="7F199D80"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Diena prieš</w:t>
            </w:r>
          </w:p>
        </w:tc>
      </w:tr>
      <w:tr w:rsidR="001D21EC" w14:paraId="2E36C3DE"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103F4DC5"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D-2</w:t>
            </w:r>
          </w:p>
        </w:tc>
        <w:tc>
          <w:tcPr>
            <w:tcW w:w="6720" w:type="dxa"/>
            <w:tcBorders>
              <w:top w:val="single" w:sz="4" w:space="0" w:color="auto"/>
              <w:left w:val="nil"/>
              <w:bottom w:val="single" w:sz="4" w:space="0" w:color="auto"/>
              <w:right w:val="single" w:sz="4" w:space="0" w:color="auto"/>
            </w:tcBorders>
            <w:vAlign w:val="bottom"/>
          </w:tcPr>
          <w:p w14:paraId="679730C4"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Dvi dienos prieš</w:t>
            </w:r>
          </w:p>
        </w:tc>
      </w:tr>
      <w:tr w:rsidR="001D21EC" w14:paraId="66184967"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0604EE60"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DE</w:t>
            </w:r>
          </w:p>
        </w:tc>
        <w:tc>
          <w:tcPr>
            <w:tcW w:w="6720" w:type="dxa"/>
            <w:tcBorders>
              <w:top w:val="single" w:sz="4" w:space="0" w:color="auto"/>
              <w:left w:val="nil"/>
              <w:bottom w:val="single" w:sz="4" w:space="0" w:color="auto"/>
              <w:right w:val="single" w:sz="4" w:space="0" w:color="auto"/>
            </w:tcBorders>
            <w:vAlign w:val="bottom"/>
          </w:tcPr>
          <w:p w14:paraId="06397A5F"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Dienos eigos</w:t>
            </w:r>
          </w:p>
        </w:tc>
      </w:tr>
      <w:tr w:rsidR="001D21EC" w14:paraId="4E3E319D" w14:textId="77777777">
        <w:trPr>
          <w:trHeight w:val="290"/>
        </w:trPr>
        <w:tc>
          <w:tcPr>
            <w:tcW w:w="1720" w:type="dxa"/>
            <w:tcBorders>
              <w:top w:val="nil"/>
              <w:left w:val="single" w:sz="4" w:space="0" w:color="auto"/>
              <w:bottom w:val="single" w:sz="4" w:space="0" w:color="auto"/>
              <w:right w:val="single" w:sz="4" w:space="0" w:color="auto"/>
            </w:tcBorders>
            <w:vAlign w:val="bottom"/>
            <w:hideMark/>
          </w:tcPr>
          <w:p w14:paraId="4CC4EBC7"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DH</w:t>
            </w:r>
          </w:p>
        </w:tc>
        <w:tc>
          <w:tcPr>
            <w:tcW w:w="6720" w:type="dxa"/>
            <w:tcBorders>
              <w:top w:val="nil"/>
              <w:left w:val="nil"/>
              <w:bottom w:val="single" w:sz="4" w:space="0" w:color="auto"/>
              <w:right w:val="single" w:sz="4" w:space="0" w:color="auto"/>
            </w:tcBorders>
            <w:vAlign w:val="bottom"/>
            <w:hideMark/>
          </w:tcPr>
          <w:p w14:paraId="399618B2"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Duomenų istorijos saugykla (</w:t>
            </w:r>
            <w:r>
              <w:rPr>
                <w:rFonts w:ascii="Aptos Narrow" w:eastAsia="Times New Roman" w:hAnsi="Aptos Narrow" w:cs="Times New Roman"/>
                <w:i/>
                <w:color w:val="000000"/>
              </w:rPr>
              <w:t>Data Historian</w:t>
            </w:r>
            <w:r>
              <w:rPr>
                <w:rFonts w:ascii="Aptos Narrow" w:eastAsia="Times New Roman" w:hAnsi="Aptos Narrow" w:cs="Times New Roman"/>
                <w:color w:val="000000"/>
              </w:rPr>
              <w:t>)</w:t>
            </w:r>
          </w:p>
        </w:tc>
      </w:tr>
      <w:tr w:rsidR="001D21EC" w14:paraId="5746593E" w14:textId="77777777">
        <w:trPr>
          <w:trHeight w:val="290"/>
        </w:trPr>
        <w:tc>
          <w:tcPr>
            <w:tcW w:w="1720" w:type="dxa"/>
            <w:tcBorders>
              <w:top w:val="nil"/>
              <w:left w:val="single" w:sz="4" w:space="0" w:color="auto"/>
              <w:bottom w:val="single" w:sz="4" w:space="0" w:color="auto"/>
              <w:right w:val="single" w:sz="4" w:space="0" w:color="auto"/>
            </w:tcBorders>
            <w:vAlign w:val="bottom"/>
            <w:hideMark/>
          </w:tcPr>
          <w:p w14:paraId="430242C8"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EDI Library</w:t>
            </w:r>
          </w:p>
        </w:tc>
        <w:tc>
          <w:tcPr>
            <w:tcW w:w="6720" w:type="dxa"/>
            <w:tcBorders>
              <w:top w:val="nil"/>
              <w:left w:val="nil"/>
              <w:bottom w:val="single" w:sz="4" w:space="0" w:color="auto"/>
              <w:right w:val="single" w:sz="4" w:space="0" w:color="auto"/>
            </w:tcBorders>
            <w:vAlign w:val="bottom"/>
            <w:hideMark/>
          </w:tcPr>
          <w:p w14:paraId="48C8B7F7"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Elektroninių duomenų mainų biblioteka (</w:t>
            </w:r>
            <w:r>
              <w:rPr>
                <w:rFonts w:ascii="Aptos Narrow" w:eastAsia="Times New Roman" w:hAnsi="Aptos Narrow" w:cs="Times New Roman"/>
                <w:i/>
                <w:color w:val="000000"/>
              </w:rPr>
              <w:t>Electronic Data Interchange</w:t>
            </w:r>
            <w:r>
              <w:rPr>
                <w:rFonts w:ascii="Aptos Narrow" w:eastAsia="Times New Roman" w:hAnsi="Aptos Narrow" w:cs="Times New Roman"/>
                <w:color w:val="000000"/>
              </w:rPr>
              <w:t>)</w:t>
            </w:r>
          </w:p>
        </w:tc>
      </w:tr>
      <w:tr w:rsidR="001D21EC" w14:paraId="75C3D846"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40DA898C"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ENTSO-E</w:t>
            </w:r>
          </w:p>
        </w:tc>
        <w:tc>
          <w:tcPr>
            <w:tcW w:w="6720" w:type="dxa"/>
            <w:tcBorders>
              <w:top w:val="single" w:sz="4" w:space="0" w:color="auto"/>
              <w:left w:val="nil"/>
              <w:bottom w:val="single" w:sz="4" w:space="0" w:color="auto"/>
              <w:right w:val="single" w:sz="4" w:space="0" w:color="auto"/>
            </w:tcBorders>
            <w:vAlign w:val="bottom"/>
          </w:tcPr>
          <w:p w14:paraId="1ADB9A86"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 xml:space="preserve">Europos elektros perdavimo sistemos operatorių tinklas  (angl. European Network of Transmission System Operators for Electricity) </w:t>
            </w:r>
          </w:p>
        </w:tc>
      </w:tr>
      <w:tr w:rsidR="001D21EC" w14:paraId="093D0FF9"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754CEE36"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ES</w:t>
            </w:r>
          </w:p>
        </w:tc>
        <w:tc>
          <w:tcPr>
            <w:tcW w:w="6720" w:type="dxa"/>
            <w:tcBorders>
              <w:top w:val="single" w:sz="4" w:space="0" w:color="auto"/>
              <w:left w:val="nil"/>
              <w:bottom w:val="single" w:sz="4" w:space="0" w:color="auto"/>
              <w:right w:val="single" w:sz="4" w:space="0" w:color="auto"/>
            </w:tcBorders>
            <w:vAlign w:val="bottom"/>
          </w:tcPr>
          <w:p w14:paraId="235B8654"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Europos Sąjunga</w:t>
            </w:r>
          </w:p>
        </w:tc>
      </w:tr>
      <w:tr w:rsidR="001D21EC" w14:paraId="13DAC473" w14:textId="77777777">
        <w:trPr>
          <w:trHeight w:val="290"/>
        </w:trPr>
        <w:tc>
          <w:tcPr>
            <w:tcW w:w="1720" w:type="dxa"/>
            <w:tcBorders>
              <w:top w:val="nil"/>
              <w:left w:val="single" w:sz="4" w:space="0" w:color="auto"/>
              <w:bottom w:val="single" w:sz="4" w:space="0" w:color="auto"/>
              <w:right w:val="single" w:sz="4" w:space="0" w:color="auto"/>
            </w:tcBorders>
            <w:vAlign w:val="bottom"/>
            <w:hideMark/>
          </w:tcPr>
          <w:p w14:paraId="069A7391"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ESB</w:t>
            </w:r>
          </w:p>
        </w:tc>
        <w:tc>
          <w:tcPr>
            <w:tcW w:w="6720" w:type="dxa"/>
            <w:tcBorders>
              <w:top w:val="nil"/>
              <w:left w:val="nil"/>
              <w:bottom w:val="single" w:sz="4" w:space="0" w:color="auto"/>
              <w:right w:val="single" w:sz="4" w:space="0" w:color="auto"/>
            </w:tcBorders>
            <w:vAlign w:val="bottom"/>
            <w:hideMark/>
          </w:tcPr>
          <w:p w14:paraId="6E502650"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 xml:space="preserve">Įmonėje naudojama duomenų mainų valdymo sistema (angl . </w:t>
            </w:r>
            <w:r>
              <w:rPr>
                <w:rFonts w:ascii="Aptos Narrow" w:eastAsia="Times New Roman" w:hAnsi="Aptos Narrow" w:cs="Times New Roman"/>
                <w:i/>
                <w:color w:val="000000"/>
              </w:rPr>
              <w:t>Enterprise Service Bus</w:t>
            </w:r>
            <w:r>
              <w:rPr>
                <w:rFonts w:ascii="Aptos Narrow" w:eastAsia="Times New Roman" w:hAnsi="Aptos Narrow" w:cs="Times New Roman"/>
                <w:color w:val="000000"/>
              </w:rPr>
              <w:t>)</w:t>
            </w:r>
          </w:p>
        </w:tc>
      </w:tr>
      <w:tr w:rsidR="001D21EC" w14:paraId="352BD17A"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4AAF2D25"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H-1</w:t>
            </w:r>
          </w:p>
        </w:tc>
        <w:tc>
          <w:tcPr>
            <w:tcW w:w="6720" w:type="dxa"/>
            <w:tcBorders>
              <w:top w:val="single" w:sz="4" w:space="0" w:color="auto"/>
              <w:left w:val="nil"/>
              <w:bottom w:val="single" w:sz="4" w:space="0" w:color="auto"/>
              <w:right w:val="single" w:sz="4" w:space="0" w:color="auto"/>
            </w:tcBorders>
            <w:vAlign w:val="bottom"/>
          </w:tcPr>
          <w:p w14:paraId="3D63B537"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Balansavimo periodo</w:t>
            </w:r>
          </w:p>
        </w:tc>
      </w:tr>
      <w:tr w:rsidR="001D21EC" w14:paraId="6B4BD3E7"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6D100EA2"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Y-1</w:t>
            </w:r>
          </w:p>
        </w:tc>
        <w:tc>
          <w:tcPr>
            <w:tcW w:w="6720" w:type="dxa"/>
            <w:tcBorders>
              <w:top w:val="single" w:sz="4" w:space="0" w:color="auto"/>
              <w:left w:val="nil"/>
              <w:bottom w:val="single" w:sz="4" w:space="0" w:color="auto"/>
              <w:right w:val="single" w:sz="4" w:space="0" w:color="auto"/>
            </w:tcBorders>
            <w:vAlign w:val="bottom"/>
          </w:tcPr>
          <w:p w14:paraId="1C0E4A79"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Metai prieš</w:t>
            </w:r>
          </w:p>
        </w:tc>
      </w:tr>
      <w:tr w:rsidR="001D21EC" w14:paraId="5FC0558F"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570D3DDA"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ISO 9001</w:t>
            </w:r>
          </w:p>
        </w:tc>
        <w:tc>
          <w:tcPr>
            <w:tcW w:w="6720" w:type="dxa"/>
            <w:tcBorders>
              <w:top w:val="single" w:sz="4" w:space="0" w:color="auto"/>
              <w:left w:val="nil"/>
              <w:bottom w:val="single" w:sz="4" w:space="0" w:color="auto"/>
              <w:right w:val="single" w:sz="4" w:space="0" w:color="auto"/>
            </w:tcBorders>
            <w:vAlign w:val="bottom"/>
          </w:tcPr>
          <w:p w14:paraId="320AB4A1"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Tarptautinis kokybės vadybos sistemų (KVS) standartas</w:t>
            </w:r>
          </w:p>
        </w:tc>
      </w:tr>
      <w:tr w:rsidR="001D21EC" w14:paraId="2BFC0B85"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709F3D51"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IT sprendimas</w:t>
            </w:r>
          </w:p>
        </w:tc>
        <w:tc>
          <w:tcPr>
            <w:tcW w:w="6720" w:type="dxa"/>
            <w:tcBorders>
              <w:top w:val="single" w:sz="4" w:space="0" w:color="auto"/>
              <w:left w:val="nil"/>
              <w:bottom w:val="single" w:sz="4" w:space="0" w:color="auto"/>
              <w:right w:val="single" w:sz="4" w:space="0" w:color="auto"/>
            </w:tcBorders>
            <w:vAlign w:val="bottom"/>
          </w:tcPr>
          <w:p w14:paraId="28003B9F"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 xml:space="preserve">Informacinė sistema ir/arba IT įrankis veiklos procesų žingsniui vykdyti (angl. IT solution) </w:t>
            </w:r>
          </w:p>
        </w:tc>
      </w:tr>
      <w:tr w:rsidR="001D21EC" w14:paraId="0368AC75"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hideMark/>
          </w:tcPr>
          <w:p w14:paraId="7F52AF1A"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JSON</w:t>
            </w:r>
          </w:p>
        </w:tc>
        <w:tc>
          <w:tcPr>
            <w:tcW w:w="6720" w:type="dxa"/>
            <w:tcBorders>
              <w:top w:val="single" w:sz="4" w:space="0" w:color="auto"/>
              <w:left w:val="nil"/>
              <w:bottom w:val="single" w:sz="4" w:space="0" w:color="auto"/>
              <w:right w:val="single" w:sz="4" w:space="0" w:color="auto"/>
            </w:tcBorders>
            <w:vAlign w:val="bottom"/>
            <w:hideMark/>
          </w:tcPr>
          <w:p w14:paraId="221464B8"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Duomenų mainų formatas (</w:t>
            </w:r>
            <w:r>
              <w:rPr>
                <w:rFonts w:ascii="Aptos Narrow" w:eastAsia="Times New Roman" w:hAnsi="Aptos Narrow" w:cs="Times New Roman"/>
                <w:i/>
                <w:color w:val="000000"/>
              </w:rPr>
              <w:t>JavaScript Object Notation</w:t>
            </w:r>
            <w:r>
              <w:rPr>
                <w:rFonts w:ascii="Aptos Narrow" w:eastAsia="Times New Roman" w:hAnsi="Aptos Narrow" w:cs="Times New Roman"/>
                <w:color w:val="000000"/>
              </w:rPr>
              <w:t>)</w:t>
            </w:r>
          </w:p>
        </w:tc>
      </w:tr>
      <w:tr w:rsidR="001D21EC" w14:paraId="47822045"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61ACAE2A"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M-1</w:t>
            </w:r>
          </w:p>
        </w:tc>
        <w:tc>
          <w:tcPr>
            <w:tcW w:w="6720" w:type="dxa"/>
            <w:tcBorders>
              <w:top w:val="single" w:sz="4" w:space="0" w:color="auto"/>
              <w:left w:val="nil"/>
              <w:bottom w:val="single" w:sz="4" w:space="0" w:color="auto"/>
              <w:right w:val="single" w:sz="4" w:space="0" w:color="auto"/>
            </w:tcBorders>
            <w:vAlign w:val="bottom"/>
          </w:tcPr>
          <w:p w14:paraId="38A25ACC"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Mėnesis prieš</w:t>
            </w:r>
          </w:p>
        </w:tc>
      </w:tr>
      <w:tr w:rsidR="001D21EC" w14:paraId="5CA45FA1" w14:textId="77777777">
        <w:trPr>
          <w:trHeight w:val="290"/>
        </w:trPr>
        <w:tc>
          <w:tcPr>
            <w:tcW w:w="1720" w:type="dxa"/>
            <w:tcBorders>
              <w:top w:val="nil"/>
              <w:left w:val="single" w:sz="4" w:space="0" w:color="auto"/>
              <w:bottom w:val="single" w:sz="4" w:space="0" w:color="auto"/>
              <w:right w:val="single" w:sz="4" w:space="0" w:color="auto"/>
            </w:tcBorders>
            <w:vAlign w:val="bottom"/>
            <w:hideMark/>
          </w:tcPr>
          <w:p w14:paraId="661CE0F0"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MDE</w:t>
            </w:r>
          </w:p>
        </w:tc>
        <w:tc>
          <w:tcPr>
            <w:tcW w:w="6720" w:type="dxa"/>
            <w:tcBorders>
              <w:top w:val="nil"/>
              <w:left w:val="nil"/>
              <w:bottom w:val="single" w:sz="4" w:space="0" w:color="auto"/>
              <w:right w:val="single" w:sz="4" w:space="0" w:color="auto"/>
            </w:tcBorders>
            <w:vAlign w:val="bottom"/>
            <w:hideMark/>
          </w:tcPr>
          <w:p w14:paraId="7CEE4A46"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Modelių duomenų aplinka (</w:t>
            </w:r>
            <w:r>
              <w:rPr>
                <w:rFonts w:ascii="Aptos Narrow" w:eastAsia="Times New Roman" w:hAnsi="Aptos Narrow" w:cs="Times New Roman"/>
                <w:i/>
                <w:color w:val="000000"/>
              </w:rPr>
              <w:t>Model Data Environment</w:t>
            </w:r>
            <w:r>
              <w:rPr>
                <w:rFonts w:ascii="Aptos Narrow" w:eastAsia="Times New Roman" w:hAnsi="Aptos Narrow" w:cs="Times New Roman"/>
                <w:color w:val="000000"/>
              </w:rPr>
              <w:t>)</w:t>
            </w:r>
          </w:p>
        </w:tc>
      </w:tr>
      <w:tr w:rsidR="001D21EC" w14:paraId="68E613A7"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28F59B9A" w14:textId="77777777" w:rsidR="001D21EC" w:rsidRDefault="001D21EC">
            <w:pPr>
              <w:spacing w:after="0" w:line="240" w:lineRule="auto"/>
              <w:rPr>
                <w:rFonts w:ascii="Aptos Narrow" w:eastAsia="Times New Roman" w:hAnsi="Aptos Narrow" w:cs="Times New Roman"/>
                <w:color w:val="000000"/>
                <w:lang w:val="en-US"/>
              </w:rPr>
            </w:pPr>
            <w:r>
              <w:rPr>
                <w:rFonts w:ascii="Aptos Narrow" w:eastAsia="Times New Roman" w:hAnsi="Aptos Narrow" w:cs="Times New Roman"/>
                <w:color w:val="000000"/>
                <w:lang w:val="en-US"/>
              </w:rPr>
              <w:t>OCM</w:t>
            </w:r>
          </w:p>
        </w:tc>
        <w:tc>
          <w:tcPr>
            <w:tcW w:w="6720" w:type="dxa"/>
            <w:tcBorders>
              <w:top w:val="single" w:sz="4" w:space="0" w:color="auto"/>
              <w:left w:val="nil"/>
              <w:bottom w:val="single" w:sz="4" w:space="0" w:color="auto"/>
              <w:right w:val="single" w:sz="4" w:space="0" w:color="auto"/>
            </w:tcBorders>
            <w:vAlign w:val="bottom"/>
          </w:tcPr>
          <w:p w14:paraId="715F1CF0" w14:textId="77777777" w:rsidR="001D21EC" w:rsidRDefault="001D21EC">
            <w:pPr>
              <w:spacing w:after="0" w:line="240" w:lineRule="auto"/>
              <w:rPr>
                <w:rFonts w:ascii="Aptos Narrow" w:eastAsia="Times New Roman" w:hAnsi="Aptos Narrow" w:cs="Times New Roman"/>
                <w:i/>
                <w:iCs/>
                <w:color w:val="000000"/>
                <w:lang w:val="en-US"/>
              </w:rPr>
            </w:pPr>
            <w:r>
              <w:rPr>
                <w:rFonts w:ascii="Aptos Narrow" w:eastAsia="Times New Roman" w:hAnsi="Aptos Narrow" w:cs="Times New Roman"/>
                <w:i/>
                <w:iCs/>
                <w:color w:val="000000"/>
                <w:lang w:val="en-US"/>
              </w:rPr>
              <w:t>Outage Coordination Methodology pagal SO GL 84–92 straipsnius, skirta planiniams atjungimams koordinuoti.</w:t>
            </w:r>
          </w:p>
        </w:tc>
      </w:tr>
      <w:tr w:rsidR="001D21EC" w14:paraId="436AABDD" w14:textId="77777777">
        <w:trPr>
          <w:trHeight w:val="330"/>
        </w:trPr>
        <w:tc>
          <w:tcPr>
            <w:tcW w:w="1720" w:type="dxa"/>
            <w:tcBorders>
              <w:top w:val="nil"/>
              <w:left w:val="single" w:sz="4" w:space="0" w:color="auto"/>
              <w:bottom w:val="single" w:sz="4" w:space="0" w:color="auto"/>
              <w:right w:val="single" w:sz="4" w:space="0" w:color="auto"/>
            </w:tcBorders>
            <w:vAlign w:val="bottom"/>
            <w:hideMark/>
          </w:tcPr>
          <w:p w14:paraId="5D8CE03B"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ODMS</w:t>
            </w:r>
          </w:p>
        </w:tc>
        <w:tc>
          <w:tcPr>
            <w:tcW w:w="6720" w:type="dxa"/>
            <w:tcBorders>
              <w:top w:val="nil"/>
              <w:left w:val="nil"/>
              <w:bottom w:val="single" w:sz="4" w:space="0" w:color="auto"/>
              <w:right w:val="single" w:sz="4" w:space="0" w:color="auto"/>
            </w:tcBorders>
            <w:vAlign w:val="bottom"/>
            <w:hideMark/>
          </w:tcPr>
          <w:p w14:paraId="00832D3A" w14:textId="77777777" w:rsidR="001D21EC" w:rsidRDefault="001D21EC">
            <w:pPr>
              <w:spacing w:after="0" w:line="240" w:lineRule="auto"/>
              <w:rPr>
                <w:rFonts w:ascii="Aptos Narrow" w:eastAsia="Times New Roman" w:hAnsi="Aptos Narrow" w:cs="Times New Roman"/>
                <w:i/>
                <w:color w:val="000000"/>
              </w:rPr>
            </w:pPr>
            <w:r>
              <w:rPr>
                <w:rFonts w:ascii="Aptos Narrow" w:eastAsia="Times New Roman" w:hAnsi="Aptos Narrow" w:cs="Times New Roman"/>
                <w:color w:val="000000"/>
              </w:rPr>
              <w:t>Perdavimo tinklo modeliavimo ir analizės įrankis (</w:t>
            </w:r>
            <w:r>
              <w:rPr>
                <w:rFonts w:ascii="Aptos Narrow" w:eastAsia="Times New Roman" w:hAnsi="Aptos Narrow" w:cs="Times New Roman"/>
                <w:i/>
                <w:color w:val="000000"/>
              </w:rPr>
              <w:t>Operations and Data Management System</w:t>
            </w:r>
            <w:r>
              <w:rPr>
                <w:rFonts w:ascii="Aptos Narrow" w:eastAsia="Times New Roman" w:hAnsi="Aptos Narrow" w:cs="Times New Roman"/>
                <w:color w:val="000000"/>
              </w:rPr>
              <w:t>)</w:t>
            </w:r>
          </w:p>
        </w:tc>
      </w:tr>
      <w:tr w:rsidR="001D21EC" w14:paraId="4D1A2BD8"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6E50140D" w14:textId="77777777" w:rsidR="001D21EC" w:rsidRDefault="001D21EC">
            <w:pPr>
              <w:spacing w:after="0" w:line="240" w:lineRule="auto"/>
              <w:rPr>
                <w:rFonts w:ascii="Aptos Narrow" w:eastAsia="Times New Roman" w:hAnsi="Aptos Narrow" w:cs="Times New Roman"/>
                <w:color w:val="000000"/>
                <w:lang w:val="en-US"/>
              </w:rPr>
            </w:pPr>
            <w:r>
              <w:rPr>
                <w:rFonts w:ascii="Aptos Narrow" w:eastAsia="Times New Roman" w:hAnsi="Aptos Narrow" w:cs="Times New Roman"/>
                <w:color w:val="000000"/>
                <w:lang w:val="en-US"/>
              </w:rPr>
              <w:t>OWASP ASVS</w:t>
            </w:r>
          </w:p>
        </w:tc>
        <w:tc>
          <w:tcPr>
            <w:tcW w:w="6720" w:type="dxa"/>
            <w:tcBorders>
              <w:top w:val="single" w:sz="4" w:space="0" w:color="auto"/>
              <w:left w:val="nil"/>
              <w:bottom w:val="single" w:sz="4" w:space="0" w:color="auto"/>
              <w:right w:val="single" w:sz="4" w:space="0" w:color="auto"/>
            </w:tcBorders>
            <w:vAlign w:val="bottom"/>
          </w:tcPr>
          <w:p w14:paraId="111E2911" w14:textId="77777777" w:rsidR="001D21EC" w:rsidRDefault="001D21EC">
            <w:pPr>
              <w:spacing w:after="0" w:line="240" w:lineRule="auto"/>
              <w:rPr>
                <w:rFonts w:ascii="Aptos Narrow" w:eastAsia="Times New Roman" w:hAnsi="Aptos Narrow" w:cs="Times New Roman"/>
                <w:i/>
                <w:iCs/>
                <w:color w:val="000000"/>
                <w:lang w:val="en-US"/>
              </w:rPr>
            </w:pPr>
            <w:r>
              <w:rPr>
                <w:rFonts w:ascii="Aptos Narrow" w:eastAsia="Times New Roman" w:hAnsi="Aptos Narrow" w:cs="Times New Roman"/>
                <w:i/>
                <w:iCs/>
                <w:color w:val="000000"/>
                <w:lang w:val="en-US"/>
              </w:rPr>
              <w:t>(Angl. Open Worldwide Application Security Project Application Security Verification Standard) Pasaulinio programinės įrangos saugumo projekto programinės įrangos saugumo tikrinimo standartas</w:t>
            </w:r>
          </w:p>
        </w:tc>
      </w:tr>
      <w:tr w:rsidR="001D21EC" w14:paraId="0A957E55" w14:textId="77777777">
        <w:trPr>
          <w:trHeight w:val="290"/>
        </w:trPr>
        <w:tc>
          <w:tcPr>
            <w:tcW w:w="1720" w:type="dxa"/>
            <w:tcBorders>
              <w:top w:val="nil"/>
              <w:left w:val="single" w:sz="4" w:space="0" w:color="auto"/>
              <w:bottom w:val="single" w:sz="4" w:space="0" w:color="auto"/>
              <w:right w:val="single" w:sz="4" w:space="0" w:color="auto"/>
            </w:tcBorders>
            <w:vAlign w:val="bottom"/>
            <w:hideMark/>
          </w:tcPr>
          <w:p w14:paraId="0010DFEE"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Power BI</w:t>
            </w:r>
          </w:p>
        </w:tc>
        <w:tc>
          <w:tcPr>
            <w:tcW w:w="6720" w:type="dxa"/>
            <w:tcBorders>
              <w:top w:val="nil"/>
              <w:left w:val="nil"/>
              <w:bottom w:val="single" w:sz="4" w:space="0" w:color="auto"/>
              <w:right w:val="single" w:sz="4" w:space="0" w:color="auto"/>
            </w:tcBorders>
            <w:vAlign w:val="bottom"/>
            <w:hideMark/>
          </w:tcPr>
          <w:p w14:paraId="226B5480"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Duomenų vizualizavimo ir analizės platforma</w:t>
            </w:r>
          </w:p>
        </w:tc>
      </w:tr>
      <w:tr w:rsidR="001D21EC" w14:paraId="1DC2A37C"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241C3D1A"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 xml:space="preserve">PSO </w:t>
            </w:r>
          </w:p>
        </w:tc>
        <w:tc>
          <w:tcPr>
            <w:tcW w:w="6720" w:type="dxa"/>
            <w:tcBorders>
              <w:top w:val="single" w:sz="4" w:space="0" w:color="auto"/>
              <w:left w:val="nil"/>
              <w:bottom w:val="single" w:sz="4" w:space="0" w:color="auto"/>
              <w:right w:val="single" w:sz="4" w:space="0" w:color="auto"/>
            </w:tcBorders>
            <w:vAlign w:val="bottom"/>
          </w:tcPr>
          <w:p w14:paraId="6A60C717"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 xml:space="preserve">Perdavimo sistemos operatorius  (angl. TSO - Transmission System Operator)  </w:t>
            </w:r>
          </w:p>
        </w:tc>
      </w:tr>
      <w:tr w:rsidR="001D21EC" w14:paraId="0432A0D6" w14:textId="77777777">
        <w:trPr>
          <w:trHeight w:val="290"/>
        </w:trPr>
        <w:tc>
          <w:tcPr>
            <w:tcW w:w="1720" w:type="dxa"/>
            <w:tcBorders>
              <w:top w:val="nil"/>
              <w:left w:val="single" w:sz="4" w:space="0" w:color="auto"/>
              <w:bottom w:val="single" w:sz="4" w:space="0" w:color="auto"/>
              <w:right w:val="single" w:sz="4" w:space="0" w:color="auto"/>
            </w:tcBorders>
            <w:vAlign w:val="bottom"/>
            <w:hideMark/>
          </w:tcPr>
          <w:p w14:paraId="4F0695A0"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PSS/E</w:t>
            </w:r>
          </w:p>
        </w:tc>
        <w:tc>
          <w:tcPr>
            <w:tcW w:w="6720" w:type="dxa"/>
            <w:tcBorders>
              <w:top w:val="nil"/>
              <w:left w:val="nil"/>
              <w:bottom w:val="single" w:sz="4" w:space="0" w:color="auto"/>
              <w:right w:val="single" w:sz="4" w:space="0" w:color="auto"/>
            </w:tcBorders>
            <w:vAlign w:val="bottom"/>
            <w:hideMark/>
          </w:tcPr>
          <w:p w14:paraId="4AA70333"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Siemens elektros tinklų srautų analizės įrankis</w:t>
            </w:r>
          </w:p>
        </w:tc>
      </w:tr>
      <w:tr w:rsidR="001D21EC" w14:paraId="6CF18575" w14:textId="77777777">
        <w:trPr>
          <w:trHeight w:val="290"/>
        </w:trPr>
        <w:tc>
          <w:tcPr>
            <w:tcW w:w="1720" w:type="dxa"/>
            <w:tcBorders>
              <w:top w:val="nil"/>
              <w:left w:val="single" w:sz="4" w:space="0" w:color="auto"/>
              <w:bottom w:val="single" w:sz="4" w:space="0" w:color="auto"/>
              <w:right w:val="single" w:sz="4" w:space="0" w:color="auto"/>
            </w:tcBorders>
            <w:vAlign w:val="bottom"/>
            <w:hideMark/>
          </w:tcPr>
          <w:p w14:paraId="2550D509"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ROI</w:t>
            </w:r>
          </w:p>
        </w:tc>
        <w:tc>
          <w:tcPr>
            <w:tcW w:w="6720" w:type="dxa"/>
            <w:tcBorders>
              <w:top w:val="nil"/>
              <w:left w:val="nil"/>
              <w:bottom w:val="single" w:sz="4" w:space="0" w:color="auto"/>
              <w:right w:val="single" w:sz="4" w:space="0" w:color="auto"/>
            </w:tcBorders>
            <w:vAlign w:val="bottom"/>
            <w:hideMark/>
          </w:tcPr>
          <w:p w14:paraId="290982F4"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Investicijų grąža (</w:t>
            </w:r>
            <w:r>
              <w:rPr>
                <w:rFonts w:ascii="Aptos Narrow" w:eastAsia="Times New Roman" w:hAnsi="Aptos Narrow" w:cs="Times New Roman"/>
                <w:i/>
                <w:color w:val="000000"/>
              </w:rPr>
              <w:t>Return on Investment</w:t>
            </w:r>
            <w:r>
              <w:rPr>
                <w:rFonts w:ascii="Aptos Narrow" w:eastAsia="Times New Roman" w:hAnsi="Aptos Narrow" w:cs="Times New Roman"/>
                <w:color w:val="000000"/>
              </w:rPr>
              <w:t>)</w:t>
            </w:r>
          </w:p>
        </w:tc>
      </w:tr>
      <w:tr w:rsidR="001D21EC" w14:paraId="3F5CD60F"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0899C9E6"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lastRenderedPageBreak/>
              <w:t>SO GL</w:t>
            </w:r>
          </w:p>
        </w:tc>
        <w:tc>
          <w:tcPr>
            <w:tcW w:w="6720" w:type="dxa"/>
            <w:tcBorders>
              <w:top w:val="single" w:sz="4" w:space="0" w:color="auto"/>
              <w:left w:val="nil"/>
              <w:bottom w:val="single" w:sz="4" w:space="0" w:color="auto"/>
              <w:right w:val="single" w:sz="4" w:space="0" w:color="auto"/>
            </w:tcBorders>
            <w:vAlign w:val="bottom"/>
          </w:tcPr>
          <w:p w14:paraId="0EE341B8"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ENTSO-E priimtas reguliavimo dokumentas</w:t>
            </w:r>
            <w:r>
              <w:t xml:space="preserve"> </w:t>
            </w:r>
            <w:r>
              <w:rPr>
                <w:rFonts w:ascii="Aptos Narrow" w:eastAsia="Times New Roman" w:hAnsi="Aptos Narrow" w:cs="Times New Roman"/>
                <w:color w:val="000000"/>
              </w:rPr>
              <w:t>nustatantis bendras taisykles ir procedūras, kaip užtikrinti elektros perdavimo tinklo veikimą visoje Europos sinchroninėje zonoje (angl. System Operations Guideline)</w:t>
            </w:r>
          </w:p>
        </w:tc>
      </w:tr>
      <w:tr w:rsidR="001D21EC" w14:paraId="11684851"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678CC959"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STATERA</w:t>
            </w:r>
          </w:p>
        </w:tc>
        <w:tc>
          <w:tcPr>
            <w:tcW w:w="6720" w:type="dxa"/>
            <w:tcBorders>
              <w:top w:val="single" w:sz="4" w:space="0" w:color="auto"/>
              <w:left w:val="nil"/>
              <w:bottom w:val="single" w:sz="4" w:space="0" w:color="auto"/>
              <w:right w:val="single" w:sz="4" w:space="0" w:color="auto"/>
            </w:tcBorders>
            <w:vAlign w:val="bottom"/>
          </w:tcPr>
          <w:p w14:paraId="1F155B9D"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Elektros balanso ir sisteminių paslaugų planavimo, valdymo ir ataskaitų sistema, realizuota specialiai pagal Litgrid AB poreikį ir skirta Litgrid AB, kaip PSO, automatizuoti susijusius veiklos procesus ir užtikrinti duomenų  mainus tarp informacinių sistemų/platformų ir kitų PSO</w:t>
            </w:r>
          </w:p>
        </w:tc>
      </w:tr>
      <w:tr w:rsidR="001D21EC" w14:paraId="2CD8FFEA" w14:textId="77777777">
        <w:trPr>
          <w:trHeight w:val="290"/>
        </w:trPr>
        <w:tc>
          <w:tcPr>
            <w:tcW w:w="1720" w:type="dxa"/>
            <w:tcBorders>
              <w:top w:val="nil"/>
              <w:left w:val="single" w:sz="4" w:space="0" w:color="auto"/>
              <w:bottom w:val="single" w:sz="4" w:space="0" w:color="auto"/>
              <w:right w:val="single" w:sz="4" w:space="0" w:color="auto"/>
            </w:tcBorders>
            <w:vAlign w:val="bottom"/>
            <w:hideMark/>
          </w:tcPr>
          <w:p w14:paraId="68AAFA54"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SWOT</w:t>
            </w:r>
          </w:p>
        </w:tc>
        <w:tc>
          <w:tcPr>
            <w:tcW w:w="6720" w:type="dxa"/>
            <w:tcBorders>
              <w:top w:val="nil"/>
              <w:left w:val="nil"/>
              <w:bottom w:val="single" w:sz="4" w:space="0" w:color="auto"/>
              <w:right w:val="single" w:sz="4" w:space="0" w:color="auto"/>
            </w:tcBorders>
            <w:vAlign w:val="bottom"/>
            <w:hideMark/>
          </w:tcPr>
          <w:p w14:paraId="02525D7C"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Stiprybių, silpnybių, galimybių ir grėsmių analizė</w:t>
            </w:r>
          </w:p>
        </w:tc>
      </w:tr>
      <w:tr w:rsidR="001D21EC" w14:paraId="01F21BDE"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1BDE91BF"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TS</w:t>
            </w:r>
          </w:p>
        </w:tc>
        <w:tc>
          <w:tcPr>
            <w:tcW w:w="6720" w:type="dxa"/>
            <w:tcBorders>
              <w:top w:val="single" w:sz="4" w:space="0" w:color="auto"/>
              <w:left w:val="nil"/>
              <w:bottom w:val="single" w:sz="4" w:space="0" w:color="auto"/>
              <w:right w:val="single" w:sz="4" w:space="0" w:color="auto"/>
            </w:tcBorders>
            <w:vAlign w:val="bottom"/>
          </w:tcPr>
          <w:p w14:paraId="448A1FC8"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Techninė specifikacija</w:t>
            </w:r>
          </w:p>
        </w:tc>
      </w:tr>
      <w:tr w:rsidR="001D21EC" w14:paraId="44B69752" w14:textId="77777777">
        <w:trPr>
          <w:trHeight w:val="290"/>
        </w:trPr>
        <w:tc>
          <w:tcPr>
            <w:tcW w:w="1720" w:type="dxa"/>
            <w:tcBorders>
              <w:top w:val="nil"/>
              <w:left w:val="single" w:sz="4" w:space="0" w:color="auto"/>
              <w:bottom w:val="single" w:sz="4" w:space="0" w:color="auto"/>
              <w:right w:val="single" w:sz="4" w:space="0" w:color="auto"/>
            </w:tcBorders>
            <w:vAlign w:val="bottom"/>
            <w:hideMark/>
          </w:tcPr>
          <w:p w14:paraId="4023CFD1"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TVIS</w:t>
            </w:r>
          </w:p>
        </w:tc>
        <w:tc>
          <w:tcPr>
            <w:tcW w:w="6720" w:type="dxa"/>
            <w:tcBorders>
              <w:top w:val="nil"/>
              <w:left w:val="nil"/>
              <w:bottom w:val="single" w:sz="4" w:space="0" w:color="auto"/>
              <w:right w:val="single" w:sz="4" w:space="0" w:color="auto"/>
            </w:tcBorders>
            <w:vAlign w:val="bottom"/>
            <w:hideMark/>
          </w:tcPr>
          <w:p w14:paraId="38E8594C"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Turto valdymo informacinė sistema</w:t>
            </w:r>
          </w:p>
        </w:tc>
      </w:tr>
      <w:tr w:rsidR="001D21EC" w14:paraId="3F514D07" w14:textId="77777777">
        <w:trPr>
          <w:trHeight w:val="290"/>
        </w:trPr>
        <w:tc>
          <w:tcPr>
            <w:tcW w:w="1720" w:type="dxa"/>
            <w:tcBorders>
              <w:top w:val="nil"/>
              <w:left w:val="single" w:sz="4" w:space="0" w:color="auto"/>
              <w:bottom w:val="single" w:sz="4" w:space="0" w:color="auto"/>
              <w:right w:val="single" w:sz="4" w:space="0" w:color="auto"/>
            </w:tcBorders>
            <w:vAlign w:val="bottom"/>
            <w:hideMark/>
          </w:tcPr>
          <w:p w14:paraId="2BD7EF0B"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UMM</w:t>
            </w:r>
          </w:p>
        </w:tc>
        <w:tc>
          <w:tcPr>
            <w:tcW w:w="6720" w:type="dxa"/>
            <w:tcBorders>
              <w:top w:val="nil"/>
              <w:left w:val="nil"/>
              <w:bottom w:val="single" w:sz="4" w:space="0" w:color="auto"/>
              <w:right w:val="single" w:sz="4" w:space="0" w:color="auto"/>
            </w:tcBorders>
            <w:vAlign w:val="bottom"/>
            <w:hideMark/>
          </w:tcPr>
          <w:p w14:paraId="15FA5310"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Skubūs rinkos pranešimai (</w:t>
            </w:r>
            <w:r>
              <w:rPr>
                <w:rFonts w:ascii="Aptos Narrow" w:eastAsia="Times New Roman" w:hAnsi="Aptos Narrow" w:cs="Times New Roman"/>
                <w:i/>
                <w:color w:val="000000"/>
              </w:rPr>
              <w:t>Urgent Market Messages</w:t>
            </w:r>
            <w:r>
              <w:rPr>
                <w:rFonts w:ascii="Aptos Narrow" w:eastAsia="Times New Roman" w:hAnsi="Aptos Narrow" w:cs="Times New Roman"/>
                <w:color w:val="000000"/>
              </w:rPr>
              <w:t>)</w:t>
            </w:r>
          </w:p>
        </w:tc>
      </w:tr>
      <w:tr w:rsidR="001D21EC" w14:paraId="32A88F84" w14:textId="77777777">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2D04D292"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W-1</w:t>
            </w:r>
          </w:p>
        </w:tc>
        <w:tc>
          <w:tcPr>
            <w:tcW w:w="6720" w:type="dxa"/>
            <w:tcBorders>
              <w:top w:val="single" w:sz="4" w:space="0" w:color="auto"/>
              <w:left w:val="nil"/>
              <w:bottom w:val="single" w:sz="4" w:space="0" w:color="auto"/>
              <w:right w:val="single" w:sz="4" w:space="0" w:color="auto"/>
            </w:tcBorders>
            <w:vAlign w:val="bottom"/>
          </w:tcPr>
          <w:p w14:paraId="2D0EFA64"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Savaitė prieš</w:t>
            </w:r>
          </w:p>
        </w:tc>
      </w:tr>
      <w:tr w:rsidR="001D21EC" w14:paraId="793809BA" w14:textId="77777777">
        <w:trPr>
          <w:trHeight w:val="290"/>
        </w:trPr>
        <w:tc>
          <w:tcPr>
            <w:tcW w:w="1720" w:type="dxa"/>
            <w:tcBorders>
              <w:top w:val="nil"/>
              <w:left w:val="single" w:sz="4" w:space="0" w:color="auto"/>
              <w:bottom w:val="single" w:sz="4" w:space="0" w:color="auto"/>
              <w:right w:val="single" w:sz="4" w:space="0" w:color="auto"/>
            </w:tcBorders>
            <w:vAlign w:val="bottom"/>
            <w:hideMark/>
          </w:tcPr>
          <w:p w14:paraId="079695D8"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XML</w:t>
            </w:r>
          </w:p>
        </w:tc>
        <w:tc>
          <w:tcPr>
            <w:tcW w:w="6720" w:type="dxa"/>
            <w:tcBorders>
              <w:top w:val="nil"/>
              <w:left w:val="nil"/>
              <w:bottom w:val="single" w:sz="4" w:space="0" w:color="auto"/>
              <w:right w:val="single" w:sz="4" w:space="0" w:color="auto"/>
            </w:tcBorders>
            <w:vAlign w:val="bottom"/>
            <w:hideMark/>
          </w:tcPr>
          <w:p w14:paraId="36FF3F9C" w14:textId="77777777" w:rsidR="001D21EC" w:rsidRDefault="001D21EC">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Duomenų mainų formatas (</w:t>
            </w:r>
            <w:r>
              <w:rPr>
                <w:rFonts w:ascii="Aptos Narrow" w:eastAsia="Times New Roman" w:hAnsi="Aptos Narrow" w:cs="Times New Roman"/>
                <w:i/>
                <w:color w:val="000000"/>
              </w:rPr>
              <w:t>Extensible Markup Language</w:t>
            </w:r>
            <w:r>
              <w:rPr>
                <w:rFonts w:ascii="Aptos Narrow" w:eastAsia="Times New Roman" w:hAnsi="Aptos Narrow" w:cs="Times New Roman"/>
                <w:color w:val="000000"/>
              </w:rPr>
              <w:t>)</w:t>
            </w:r>
          </w:p>
        </w:tc>
      </w:tr>
    </w:tbl>
    <w:p w14:paraId="52D6C58B" w14:textId="77777777" w:rsidR="00EC3C54" w:rsidRDefault="00EC3C54">
      <w:pPr>
        <w:rPr>
          <w:rFonts w:ascii="Arial" w:hAnsi="Arial" w:cs="Arial"/>
          <w:sz w:val="18"/>
          <w:szCs w:val="18"/>
        </w:rPr>
      </w:pPr>
    </w:p>
    <w:p w14:paraId="52D6C58C" w14:textId="77777777" w:rsidR="00EC3C54" w:rsidRDefault="00EC3C54">
      <w:pPr>
        <w:rPr>
          <w:rFonts w:ascii="Arial" w:hAnsi="Arial" w:cs="Arial"/>
          <w:sz w:val="18"/>
          <w:szCs w:val="18"/>
        </w:rPr>
      </w:pPr>
    </w:p>
    <w:p w14:paraId="52D6C58D" w14:textId="77777777" w:rsidR="00EC3C54" w:rsidRDefault="00EC3C54">
      <w:pPr>
        <w:rPr>
          <w:rFonts w:ascii="Arial" w:hAnsi="Arial" w:cs="Arial"/>
          <w:sz w:val="18"/>
          <w:szCs w:val="18"/>
        </w:rPr>
      </w:pPr>
    </w:p>
    <w:p w14:paraId="52D6C58E" w14:textId="77777777" w:rsidR="00EC3C54" w:rsidRDefault="00EC3C54">
      <w:pPr>
        <w:rPr>
          <w:rFonts w:ascii="Arial" w:hAnsi="Arial" w:cs="Arial"/>
          <w:sz w:val="18"/>
          <w:szCs w:val="18"/>
        </w:rPr>
      </w:pPr>
    </w:p>
    <w:p w14:paraId="52D6C58F" w14:textId="77777777" w:rsidR="00EC3C54" w:rsidRDefault="00EC3C54">
      <w:pPr>
        <w:rPr>
          <w:rFonts w:ascii="Arial" w:hAnsi="Arial" w:cs="Arial"/>
          <w:sz w:val="18"/>
          <w:szCs w:val="18"/>
        </w:rPr>
      </w:pPr>
    </w:p>
    <w:p w14:paraId="52D6C590" w14:textId="77777777" w:rsidR="00EC3C54" w:rsidRDefault="00EC3C54">
      <w:pPr>
        <w:rPr>
          <w:rFonts w:ascii="Arial" w:hAnsi="Arial" w:cs="Arial"/>
          <w:sz w:val="18"/>
          <w:szCs w:val="18"/>
        </w:rPr>
      </w:pPr>
    </w:p>
    <w:p w14:paraId="52D6C591" w14:textId="77777777" w:rsidR="00EC3C54" w:rsidRDefault="00EC3C54">
      <w:pPr>
        <w:rPr>
          <w:b/>
        </w:rPr>
      </w:pPr>
    </w:p>
    <w:p w14:paraId="52D6C592" w14:textId="77777777" w:rsidR="00EC3C54" w:rsidRDefault="00EC3C54">
      <w:pPr>
        <w:pStyle w:val="Heading1"/>
        <w:numPr>
          <w:ilvl w:val="0"/>
          <w:numId w:val="15"/>
        </w:numPr>
        <w:sectPr w:rsidR="00EC3C54">
          <w:headerReference w:type="default" r:id="rId11"/>
          <w:footerReference w:type="default" r:id="rId12"/>
          <w:headerReference w:type="first" r:id="rId13"/>
          <w:footerReference w:type="first" r:id="rId14"/>
          <w:pgSz w:w="11906" w:h="16838"/>
          <w:pgMar w:top="1134" w:right="567" w:bottom="1134" w:left="1701" w:header="454" w:footer="567" w:gutter="0"/>
          <w:cols w:space="1296"/>
          <w:titlePg/>
          <w:docGrid w:linePitch="360"/>
        </w:sectPr>
      </w:pPr>
    </w:p>
    <w:p w14:paraId="52D6C593" w14:textId="77777777" w:rsidR="00EC3C54" w:rsidRDefault="007311F2">
      <w:pPr>
        <w:pStyle w:val="Heading1"/>
        <w:numPr>
          <w:ilvl w:val="0"/>
          <w:numId w:val="15"/>
        </w:numPr>
      </w:pPr>
      <w:r>
        <w:lastRenderedPageBreak/>
        <w:t>Pirkimo objektas</w:t>
      </w:r>
    </w:p>
    <w:p w14:paraId="34396421" w14:textId="0D8A79E1" w:rsidR="00B94F18" w:rsidRDefault="00B94F18" w:rsidP="00B94F18">
      <w:pPr>
        <w:pStyle w:val="ListParagraph"/>
        <w:numPr>
          <w:ilvl w:val="1"/>
          <w:numId w:val="15"/>
        </w:numPr>
        <w:rPr>
          <w:rFonts w:ascii="Arial" w:hAnsi="Arial" w:cs="Arial"/>
          <w:sz w:val="18"/>
          <w:szCs w:val="18"/>
        </w:rPr>
      </w:pPr>
      <w:bookmarkStart w:id="0" w:name="_Ref219968747"/>
      <w:r>
        <w:rPr>
          <w:rFonts w:ascii="Arial" w:hAnsi="Arial" w:cs="Arial"/>
          <w:sz w:val="18"/>
          <w:szCs w:val="18"/>
        </w:rPr>
        <w:t>Pirkimo objektas „Operatyvinio planavimo IT sprendimų analizė ir konsultacinės paslaugos“ susideda iš šių dalių:</w:t>
      </w:r>
    </w:p>
    <w:p w14:paraId="52D6C594" w14:textId="2352A2B9" w:rsidR="00EC3C54" w:rsidRDefault="007311F2">
      <w:pPr>
        <w:pStyle w:val="ListParagraph"/>
        <w:numPr>
          <w:ilvl w:val="1"/>
          <w:numId w:val="15"/>
        </w:numPr>
        <w:rPr>
          <w:rFonts w:ascii="Arial" w:hAnsi="Arial" w:cs="Arial"/>
          <w:sz w:val="18"/>
          <w:szCs w:val="18"/>
        </w:rPr>
      </w:pPr>
      <w:r>
        <w:rPr>
          <w:rFonts w:ascii="Arial" w:hAnsi="Arial" w:cs="Arial"/>
          <w:sz w:val="18"/>
          <w:szCs w:val="18"/>
        </w:rPr>
        <w:t>Operatyvinio planavimo IT sprendimų analizės ir galimybių studija</w:t>
      </w:r>
      <w:bookmarkEnd w:id="0"/>
    </w:p>
    <w:p w14:paraId="52D6C595" w14:textId="77777777" w:rsidR="00EC3C54" w:rsidRDefault="007311F2">
      <w:pPr>
        <w:pStyle w:val="ListParagraph"/>
        <w:numPr>
          <w:ilvl w:val="1"/>
          <w:numId w:val="15"/>
        </w:numPr>
        <w:rPr>
          <w:rFonts w:ascii="Arial" w:hAnsi="Arial" w:cs="Arial"/>
          <w:sz w:val="18"/>
          <w:szCs w:val="18"/>
        </w:rPr>
      </w:pPr>
      <w:bookmarkStart w:id="1" w:name="_Ref219968719"/>
      <w:r>
        <w:rPr>
          <w:rFonts w:ascii="Arial" w:hAnsi="Arial" w:cs="Arial"/>
          <w:sz w:val="18"/>
          <w:szCs w:val="18"/>
        </w:rPr>
        <w:t>Techninės specifikacijos rengimas</w:t>
      </w:r>
      <w:bookmarkEnd w:id="1"/>
    </w:p>
    <w:p w14:paraId="52D6C596" w14:textId="77777777" w:rsidR="00EC3C54" w:rsidRDefault="007311F2">
      <w:pPr>
        <w:pStyle w:val="ListParagraph"/>
        <w:numPr>
          <w:ilvl w:val="1"/>
          <w:numId w:val="15"/>
        </w:numPr>
      </w:pPr>
      <w:bookmarkStart w:id="2" w:name="_Ref219966974"/>
      <w:r>
        <w:rPr>
          <w:rFonts w:ascii="Arial" w:hAnsi="Arial" w:cs="Arial"/>
          <w:sz w:val="18"/>
          <w:szCs w:val="18"/>
        </w:rPr>
        <w:t>Papildomos konsultacinės valandos (iki 100 val.)</w:t>
      </w:r>
      <w:bookmarkEnd w:id="2"/>
    </w:p>
    <w:p w14:paraId="52D6C597" w14:textId="77777777" w:rsidR="00EC3C54" w:rsidRDefault="007311F2">
      <w:pPr>
        <w:pStyle w:val="Heading1"/>
        <w:numPr>
          <w:ilvl w:val="0"/>
          <w:numId w:val="15"/>
        </w:numPr>
      </w:pPr>
      <w:r>
        <w:t>Paslaugų tiekimo tvarka</w:t>
      </w:r>
    </w:p>
    <w:p w14:paraId="52D6C598" w14:textId="77777777" w:rsidR="00EC3C54" w:rsidRDefault="007311F2">
      <w:pPr>
        <w:pStyle w:val="ListParagraph"/>
        <w:numPr>
          <w:ilvl w:val="1"/>
          <w:numId w:val="15"/>
        </w:numPr>
        <w:spacing w:line="276" w:lineRule="auto"/>
        <w:jc w:val="both"/>
        <w:rPr>
          <w:rFonts w:ascii="Arial" w:hAnsi="Arial" w:cs="Arial"/>
          <w:sz w:val="18"/>
          <w:szCs w:val="18"/>
        </w:rPr>
      </w:pPr>
      <w:r>
        <w:rPr>
          <w:rFonts w:ascii="Arial" w:hAnsi="Arial" w:cs="Arial"/>
          <w:sz w:val="18"/>
          <w:szCs w:val="18"/>
        </w:rPr>
        <w:t>Paslaugos turi būti teikiamos Vilniuje, Užsakovo būstinėje (Karlo Gustavo Emilio Mannerheimo g. 8), nebent pateiktoje konkrečioje užduotyje bus numatytas paslaugų teikimas Paslaugų teikėjo patalpose ar kitose patalpose; arba paslaugos teikiamos nuotoliniu būdu, vadovaujantis Perkančiosios organizacijos patvirtinta darbų organizavimo tvarka.</w:t>
      </w:r>
    </w:p>
    <w:p w14:paraId="52D6C599" w14:textId="77777777" w:rsidR="00EC3C54" w:rsidRDefault="007311F2">
      <w:pPr>
        <w:pStyle w:val="ListParagraph"/>
        <w:numPr>
          <w:ilvl w:val="1"/>
          <w:numId w:val="15"/>
        </w:numPr>
        <w:spacing w:line="276" w:lineRule="auto"/>
        <w:jc w:val="both"/>
        <w:rPr>
          <w:rFonts w:ascii="Arial" w:hAnsi="Arial" w:cs="Arial"/>
          <w:sz w:val="18"/>
          <w:szCs w:val="18"/>
        </w:rPr>
      </w:pPr>
      <w:r>
        <w:rPr>
          <w:rFonts w:ascii="Arial" w:hAnsi="Arial" w:cs="Arial"/>
          <w:sz w:val="18"/>
          <w:szCs w:val="18"/>
        </w:rPr>
        <w:t xml:space="preserve">Paslaugų teikimo terminas 36 mėnesiai.  </w:t>
      </w:r>
    </w:p>
    <w:p w14:paraId="52D6C59A" w14:textId="77777777" w:rsidR="00EC3C54" w:rsidRDefault="00EC3C54">
      <w:pPr>
        <w:pStyle w:val="ListParagraph"/>
        <w:spacing w:line="276" w:lineRule="auto"/>
        <w:jc w:val="both"/>
        <w:rPr>
          <w:rFonts w:ascii="Arial" w:hAnsi="Arial" w:cs="Arial"/>
          <w:sz w:val="18"/>
          <w:szCs w:val="18"/>
        </w:rPr>
      </w:pPr>
    </w:p>
    <w:p w14:paraId="52D6C5A4" w14:textId="77777777" w:rsidR="00EC3C54" w:rsidRDefault="007311F2">
      <w:pPr>
        <w:pStyle w:val="Heading1"/>
        <w:numPr>
          <w:ilvl w:val="0"/>
          <w:numId w:val="15"/>
        </w:numPr>
      </w:pPr>
      <w:r>
        <w:t>Esamos situacijos aprašymas</w:t>
      </w:r>
    </w:p>
    <w:p w14:paraId="52D6C5A5" w14:textId="77777777" w:rsidR="00EC3C54" w:rsidRDefault="00EC3C54">
      <w:pPr>
        <w:pStyle w:val="ListParagraph"/>
        <w:spacing w:before="120"/>
        <w:ind w:left="405"/>
        <w:jc w:val="both"/>
        <w:rPr>
          <w:rFonts w:ascii="Arial" w:eastAsiaTheme="minorHAnsi" w:hAnsi="Arial" w:cs="Arial"/>
          <w:sz w:val="18"/>
          <w:szCs w:val="18"/>
        </w:rPr>
      </w:pPr>
    </w:p>
    <w:p w14:paraId="52D6C5A6" w14:textId="77777777" w:rsidR="00EC3C54" w:rsidRDefault="007311F2">
      <w:pPr>
        <w:pStyle w:val="ListParagraph"/>
        <w:numPr>
          <w:ilvl w:val="1"/>
          <w:numId w:val="15"/>
        </w:numPr>
        <w:tabs>
          <w:tab w:val="left" w:pos="851"/>
          <w:tab w:val="left" w:pos="1843"/>
        </w:tabs>
        <w:rPr>
          <w:rFonts w:ascii="Arial" w:hAnsi="Arial" w:cs="Arial"/>
          <w:sz w:val="18"/>
          <w:szCs w:val="18"/>
        </w:rPr>
      </w:pPr>
      <w:r>
        <w:rPr>
          <w:rFonts w:ascii="Arial" w:hAnsi="Arial" w:cs="Arial"/>
          <w:sz w:val="18"/>
          <w:szCs w:val="18"/>
        </w:rPr>
        <w:t>Dėl prisijungimo prie kontinentinės Europos tinklų (toliau ES tinklai) ir integracijos su Europinėmis platformomis ir procesais, operatyvinės planavimo veiklos procesų,  apimtis auga.  Siekiant atitikti ES teisės aktų reikalavimus ir užtikrinti sklandų operatyvinio planavimo procesą, tuo pat metu vystant naujus veiklos procesus ir naują techninį/IT funkcionalumą, auga poreikis keisti esamą operatyvinio planavimo procesą ir operatyvinio planavimo principus, didinti esamų veiklos procesų efektyvumą bei vystyti naujus Procesus, remiantis geriausiomis Procesų sudarymo praktikomis ir IT Architektūros principais. Šiuo metu šie pokyčiai (procesų ir IT sistemų) įgyvendinami daugiausiai vidiniais resursais, o tai lemia didelį Procesų kiekį, mažą efektyvumą, nestabilumą ir kokybės trūkumą. Operatyvinio planavimo procesai išpildyti su Python automatizacijos skriptais, kurie, naudojant API, integruoti su tinklo modeliavimo programomis ir atlieka įvairius skaičiavimus, susijusius su elektros tinklo modeliavimo poreikiais, skirtais operatyvinio planavimo procesams. Tarpinių skaičiavimų duomenų kaupimas ir administravimas atliekamas duomenis saugant failuose ir excel formose. Duomenų mainų procesai su kitomis šalimis įgyvendinti procesų ir duomenų valdymo sistemoje, kuri turi integracijas su veiklos procesais ir kitomis sistemomis. Pagrindinės operatyvinio planavimo funkcijos/Procesai:</w:t>
      </w:r>
    </w:p>
    <w:p w14:paraId="52D6C5A7" w14:textId="77777777" w:rsidR="00EC3C54" w:rsidRDefault="00EC3C54">
      <w:pPr>
        <w:pStyle w:val="ListParagraph"/>
        <w:tabs>
          <w:tab w:val="left" w:pos="851"/>
          <w:tab w:val="left" w:pos="1843"/>
        </w:tabs>
        <w:rPr>
          <w:rFonts w:ascii="Arial" w:hAnsi="Arial" w:cs="Arial"/>
          <w:sz w:val="18"/>
          <w:szCs w:val="18"/>
        </w:rPr>
      </w:pPr>
    </w:p>
    <w:p w14:paraId="52D6C5A8" w14:textId="77777777" w:rsidR="00EC3C54" w:rsidRDefault="007311F2">
      <w:pPr>
        <w:pStyle w:val="ListParagraph"/>
        <w:numPr>
          <w:ilvl w:val="2"/>
          <w:numId w:val="15"/>
        </w:numPr>
        <w:tabs>
          <w:tab w:val="left" w:pos="851"/>
          <w:tab w:val="left" w:pos="1843"/>
        </w:tabs>
        <w:rPr>
          <w:rFonts w:ascii="Arial" w:eastAsiaTheme="minorEastAsia" w:hAnsi="Arial" w:cs="Arial"/>
          <w:sz w:val="18"/>
          <w:szCs w:val="18"/>
        </w:rPr>
      </w:pPr>
      <w:r>
        <w:rPr>
          <w:rFonts w:ascii="Arial" w:eastAsiaTheme="minorEastAsia" w:hAnsi="Arial" w:cs="Arial"/>
          <w:sz w:val="18"/>
          <w:szCs w:val="18"/>
        </w:rPr>
        <w:t>Elektros tinklo modeliavimas ir modelio palaikymas (SO GL 65–71; ENTSO</w:t>
      </w:r>
      <w:r>
        <w:rPr>
          <w:rFonts w:ascii="Cambria Math" w:eastAsiaTheme="minorEastAsia" w:hAnsi="Cambria Math" w:cs="Cambria Math"/>
          <w:sz w:val="18"/>
          <w:szCs w:val="18"/>
        </w:rPr>
        <w:t>‑</w:t>
      </w:r>
      <w:r>
        <w:rPr>
          <w:rFonts w:ascii="Arial" w:eastAsiaTheme="minorEastAsia" w:hAnsi="Arial" w:cs="Arial"/>
          <w:sz w:val="18"/>
          <w:szCs w:val="18"/>
        </w:rPr>
        <w:t>E CGM)</w:t>
      </w:r>
    </w:p>
    <w:p w14:paraId="52D6C5A9" w14:textId="77777777" w:rsidR="00EC3C54" w:rsidRDefault="007311F2">
      <w:pPr>
        <w:pStyle w:val="ListParagraph"/>
        <w:numPr>
          <w:ilvl w:val="2"/>
          <w:numId w:val="15"/>
        </w:numPr>
        <w:tabs>
          <w:tab w:val="left" w:pos="851"/>
          <w:tab w:val="left" w:pos="1843"/>
        </w:tabs>
        <w:rPr>
          <w:rFonts w:ascii="Arial" w:eastAsiaTheme="minorHAnsi" w:hAnsi="Arial" w:cs="Arial"/>
          <w:sz w:val="18"/>
          <w:szCs w:val="18"/>
        </w:rPr>
      </w:pPr>
      <w:r>
        <w:rPr>
          <w:rFonts w:ascii="Arial" w:eastAsiaTheme="minorHAnsi" w:hAnsi="Arial" w:cs="Arial"/>
          <w:sz w:val="18"/>
          <w:szCs w:val="18"/>
        </w:rPr>
        <w:t>Atjungimų valdymas (SO GL 18–29; OCM)</w:t>
      </w:r>
    </w:p>
    <w:p w14:paraId="52D6C5AA" w14:textId="77777777" w:rsidR="00EC3C54" w:rsidRDefault="007311F2">
      <w:pPr>
        <w:pStyle w:val="ListParagraph"/>
        <w:numPr>
          <w:ilvl w:val="2"/>
          <w:numId w:val="15"/>
        </w:numPr>
        <w:tabs>
          <w:tab w:val="left" w:pos="851"/>
          <w:tab w:val="left" w:pos="1843"/>
        </w:tabs>
        <w:rPr>
          <w:rFonts w:ascii="Arial" w:eastAsiaTheme="minorHAnsi" w:hAnsi="Arial" w:cs="Arial"/>
          <w:sz w:val="18"/>
          <w:szCs w:val="18"/>
          <w:lang w:val="en-US"/>
        </w:rPr>
      </w:pPr>
      <w:r>
        <w:rPr>
          <w:rFonts w:ascii="Arial" w:eastAsiaTheme="minorHAnsi" w:hAnsi="Arial" w:cs="Arial"/>
          <w:sz w:val="18"/>
          <w:szCs w:val="18"/>
        </w:rPr>
        <w:t>Sistemos patikimumo vertinimas</w:t>
      </w:r>
      <w:r>
        <w:t xml:space="preserve"> </w:t>
      </w:r>
      <w:r>
        <w:rPr>
          <w:rFonts w:ascii="Arial" w:hAnsi="Arial" w:cs="Arial"/>
          <w:sz w:val="18"/>
          <w:szCs w:val="18"/>
          <w:lang w:val="en-US"/>
        </w:rPr>
        <w:t>(SO GL 18, 24–37; CSAM)</w:t>
      </w:r>
    </w:p>
    <w:p w14:paraId="52D6C5AB" w14:textId="77777777" w:rsidR="00EC3C54" w:rsidRDefault="007311F2">
      <w:pPr>
        <w:pStyle w:val="ListParagraph"/>
        <w:numPr>
          <w:ilvl w:val="2"/>
          <w:numId w:val="15"/>
        </w:numPr>
        <w:tabs>
          <w:tab w:val="left" w:pos="851"/>
          <w:tab w:val="left" w:pos="1843"/>
        </w:tabs>
        <w:rPr>
          <w:rFonts w:ascii="Arial" w:eastAsiaTheme="minorHAnsi" w:hAnsi="Arial" w:cs="Arial"/>
          <w:sz w:val="18"/>
          <w:szCs w:val="18"/>
          <w:lang w:val="en-US"/>
        </w:rPr>
      </w:pPr>
      <w:r>
        <w:rPr>
          <w:rFonts w:ascii="Arial" w:eastAsiaTheme="minorHAnsi" w:hAnsi="Arial" w:cs="Arial"/>
          <w:sz w:val="18"/>
          <w:szCs w:val="18"/>
        </w:rPr>
        <w:t>Tarpsisteminių pralaidumų nustatymas</w:t>
      </w:r>
      <w:r>
        <w:t xml:space="preserve"> </w:t>
      </w:r>
      <w:r>
        <w:rPr>
          <w:rFonts w:ascii="Arial" w:hAnsi="Arial" w:cs="Arial"/>
          <w:sz w:val="18"/>
          <w:szCs w:val="18"/>
          <w:lang w:val="en-US"/>
        </w:rPr>
        <w:t>(CACM)</w:t>
      </w:r>
    </w:p>
    <w:p w14:paraId="52D6C5AC" w14:textId="77777777" w:rsidR="00EC3C54" w:rsidRDefault="007311F2">
      <w:pPr>
        <w:pStyle w:val="ListParagraph"/>
        <w:numPr>
          <w:ilvl w:val="2"/>
          <w:numId w:val="15"/>
        </w:numPr>
        <w:tabs>
          <w:tab w:val="left" w:pos="851"/>
          <w:tab w:val="left" w:pos="1843"/>
        </w:tabs>
        <w:rPr>
          <w:rFonts w:ascii="Arial" w:eastAsiaTheme="minorHAnsi" w:hAnsi="Arial" w:cs="Arial"/>
          <w:sz w:val="18"/>
          <w:szCs w:val="18"/>
          <w:lang w:val="en-US"/>
        </w:rPr>
      </w:pPr>
      <w:r>
        <w:rPr>
          <w:rFonts w:ascii="Arial" w:eastAsiaTheme="minorHAnsi" w:hAnsi="Arial" w:cs="Arial"/>
          <w:sz w:val="18"/>
          <w:szCs w:val="18"/>
        </w:rPr>
        <w:t xml:space="preserve">Sistemos adekvatumo vertinimas </w:t>
      </w:r>
      <w:r>
        <w:rPr>
          <w:rFonts w:ascii="Arial" w:hAnsi="Arial" w:cs="Arial"/>
          <w:sz w:val="18"/>
          <w:szCs w:val="18"/>
          <w:lang w:val="en-US"/>
        </w:rPr>
        <w:t>(SO GL 104–107; ENTSO</w:t>
      </w:r>
      <w:r>
        <w:rPr>
          <w:rFonts w:ascii="Arial" w:hAnsi="Arial" w:cs="Arial"/>
          <w:sz w:val="18"/>
          <w:szCs w:val="18"/>
          <w:lang w:val="en-US"/>
        </w:rPr>
        <w:noBreakHyphen/>
        <w:t>E planavimo metodikos)</w:t>
      </w:r>
    </w:p>
    <w:p w14:paraId="52D6C5AD" w14:textId="77777777" w:rsidR="00EC3C54" w:rsidRDefault="007311F2">
      <w:pPr>
        <w:pStyle w:val="ListParagraph"/>
        <w:numPr>
          <w:ilvl w:val="2"/>
          <w:numId w:val="15"/>
        </w:numPr>
        <w:tabs>
          <w:tab w:val="left" w:pos="851"/>
          <w:tab w:val="left" w:pos="1843"/>
        </w:tabs>
        <w:rPr>
          <w:rStyle w:val="CommentReference1"/>
          <w:rFonts w:ascii="Arial" w:hAnsi="Arial" w:cs="Arial"/>
          <w:sz w:val="18"/>
          <w:szCs w:val="18"/>
          <w:lang w:val="en-US"/>
        </w:rPr>
      </w:pPr>
      <w:r>
        <w:rPr>
          <w:rFonts w:ascii="Arial" w:eastAsiaTheme="minorHAnsi" w:hAnsi="Arial" w:cs="Arial"/>
          <w:sz w:val="18"/>
          <w:szCs w:val="18"/>
        </w:rPr>
        <w:t>Technologinių nuostolių planavimas (Lietuvos Respublikos elektros energetikos įstatymas – technologinių nuostolių apskaičiavimo ir planavimo reikalavimai)</w:t>
      </w:r>
    </w:p>
    <w:p w14:paraId="52D6C5AE" w14:textId="77777777" w:rsidR="00EC3C54" w:rsidRDefault="007311F2">
      <w:pPr>
        <w:pStyle w:val="ListParagraph"/>
        <w:numPr>
          <w:ilvl w:val="2"/>
          <w:numId w:val="15"/>
        </w:numPr>
        <w:tabs>
          <w:tab w:val="left" w:pos="851"/>
          <w:tab w:val="left" w:pos="1843"/>
        </w:tabs>
        <w:rPr>
          <w:rFonts w:ascii="Arial" w:hAnsi="Arial" w:cs="Arial"/>
          <w:sz w:val="18"/>
          <w:szCs w:val="18"/>
          <w:lang w:val="en-US"/>
        </w:rPr>
      </w:pPr>
      <w:r>
        <w:rPr>
          <w:rStyle w:val="CommentReference1"/>
          <w:rFonts w:ascii="Arial" w:hAnsi="Arial" w:cs="Arial"/>
          <w:sz w:val="18"/>
          <w:szCs w:val="18"/>
        </w:rPr>
        <w:t xml:space="preserve"> </w:t>
      </w:r>
      <w:r>
        <w:rPr>
          <w:rFonts w:ascii="Arial" w:eastAsiaTheme="minorHAnsi" w:hAnsi="Arial" w:cs="Arial"/>
          <w:sz w:val="18"/>
          <w:szCs w:val="18"/>
        </w:rPr>
        <w:t xml:space="preserve">Archyvinių duomenų kaupimas ir analizė </w:t>
      </w:r>
      <w:r>
        <w:rPr>
          <w:rFonts w:ascii="Arial" w:hAnsi="Arial" w:cs="Arial"/>
          <w:sz w:val="18"/>
          <w:szCs w:val="18"/>
          <w:lang w:val="en-US"/>
        </w:rPr>
        <w:t>(SO GL 40)</w:t>
      </w:r>
    </w:p>
    <w:p w14:paraId="52D6C5AF" w14:textId="77777777" w:rsidR="00EC3C54" w:rsidRDefault="007311F2">
      <w:pPr>
        <w:pStyle w:val="ListParagraph"/>
        <w:numPr>
          <w:ilvl w:val="1"/>
          <w:numId w:val="15"/>
        </w:numPr>
        <w:tabs>
          <w:tab w:val="left" w:pos="851"/>
          <w:tab w:val="left" w:pos="1843"/>
        </w:tabs>
        <w:rPr>
          <w:rFonts w:ascii="Arial" w:hAnsi="Arial" w:cs="Arial"/>
          <w:sz w:val="18"/>
          <w:szCs w:val="18"/>
        </w:rPr>
      </w:pPr>
      <w:r>
        <w:rPr>
          <w:rFonts w:ascii="Arial" w:hAnsi="Arial" w:cs="Arial"/>
          <w:sz w:val="18"/>
          <w:szCs w:val="18"/>
        </w:rPr>
        <w:t>Veiklos vykdomos naudojant šias elektros tinklo IT sistemas ir sprendimus:</w:t>
      </w:r>
    </w:p>
    <w:p w14:paraId="52D6C5B0" w14:textId="77777777" w:rsidR="00EC3C54" w:rsidRDefault="007311F2">
      <w:pPr>
        <w:pStyle w:val="ListParagraph"/>
        <w:numPr>
          <w:ilvl w:val="2"/>
          <w:numId w:val="15"/>
        </w:numPr>
        <w:tabs>
          <w:tab w:val="left" w:pos="851"/>
          <w:tab w:val="left" w:pos="1843"/>
        </w:tabs>
        <w:rPr>
          <w:rFonts w:ascii="Arial" w:eastAsiaTheme="minorEastAsia" w:hAnsi="Arial" w:cs="Arial"/>
          <w:sz w:val="18"/>
          <w:szCs w:val="18"/>
        </w:rPr>
      </w:pPr>
      <w:r>
        <w:rPr>
          <w:rFonts w:ascii="Arial" w:eastAsiaTheme="minorEastAsia" w:hAnsi="Arial" w:cs="Arial"/>
          <w:sz w:val="18"/>
          <w:szCs w:val="18"/>
        </w:rPr>
        <w:t>Elektros tinklo modeliavimo programos (PSS/E ir ODMS);</w:t>
      </w:r>
    </w:p>
    <w:p w14:paraId="52D6C5B1" w14:textId="77777777" w:rsidR="00EC3C54" w:rsidRDefault="007311F2">
      <w:pPr>
        <w:pStyle w:val="ListParagraph"/>
        <w:numPr>
          <w:ilvl w:val="2"/>
          <w:numId w:val="15"/>
        </w:numPr>
        <w:tabs>
          <w:tab w:val="left" w:pos="851"/>
          <w:tab w:val="left" w:pos="1843"/>
        </w:tabs>
        <w:rPr>
          <w:rFonts w:ascii="Arial" w:eastAsiaTheme="minorEastAsia" w:hAnsi="Arial" w:cs="Arial"/>
          <w:sz w:val="18"/>
          <w:szCs w:val="18"/>
        </w:rPr>
      </w:pPr>
      <w:r>
        <w:rPr>
          <w:rFonts w:ascii="Arial" w:eastAsiaTheme="minorEastAsia" w:hAnsi="Arial" w:cs="Arial"/>
          <w:sz w:val="18"/>
          <w:szCs w:val="18"/>
        </w:rPr>
        <w:t>Elektros balanso ir sisteminių paslaugų planavimo, valdymo ir ataskaitų sistema STATERA ir jos integracijos su vidinėmis ir išorinėmis sistemomis;</w:t>
      </w:r>
    </w:p>
    <w:p w14:paraId="52D6C5B2" w14:textId="77777777" w:rsidR="00EC3C54" w:rsidRDefault="007311F2">
      <w:pPr>
        <w:pStyle w:val="ListParagraph"/>
        <w:numPr>
          <w:ilvl w:val="2"/>
          <w:numId w:val="15"/>
        </w:numPr>
        <w:tabs>
          <w:tab w:val="left" w:pos="851"/>
          <w:tab w:val="left" w:pos="1843"/>
        </w:tabs>
        <w:rPr>
          <w:rFonts w:ascii="Arial" w:eastAsiaTheme="minorEastAsia" w:hAnsi="Arial" w:cs="Arial"/>
          <w:sz w:val="18"/>
          <w:szCs w:val="18"/>
        </w:rPr>
      </w:pPr>
      <w:r>
        <w:rPr>
          <w:rFonts w:ascii="Arial" w:eastAsiaTheme="minorEastAsia" w:hAnsi="Arial" w:cs="Arial"/>
          <w:sz w:val="18"/>
          <w:szCs w:val="18"/>
        </w:rPr>
        <w:t>Vidiniai analitiniai automatizavimo ir skaičiavimo įrankiai, sukurti naudojant Python skriptus, kurie atlieka automatizavimo, skaičiavimo, ataskaitų rengimo funkcijas ir užtikrina integraciją su kitomis sistemomis.</w:t>
      </w:r>
    </w:p>
    <w:p w14:paraId="52D6C5B3" w14:textId="77777777" w:rsidR="00EC3C54" w:rsidRDefault="007311F2">
      <w:pPr>
        <w:pStyle w:val="Heading1"/>
        <w:numPr>
          <w:ilvl w:val="0"/>
          <w:numId w:val="15"/>
        </w:numPr>
      </w:pPr>
      <w:r>
        <w:t>Studijos užduotys</w:t>
      </w:r>
    </w:p>
    <w:p w14:paraId="52D6C5B4" w14:textId="77777777" w:rsidR="00EC3C54" w:rsidRDefault="007311F2">
      <w:pPr>
        <w:pStyle w:val="ListParagraph"/>
        <w:numPr>
          <w:ilvl w:val="1"/>
          <w:numId w:val="15"/>
        </w:numPr>
        <w:spacing w:before="240" w:after="240"/>
        <w:jc w:val="both"/>
        <w:outlineLvl w:val="1"/>
        <w:rPr>
          <w:rFonts w:ascii="Arial" w:eastAsiaTheme="minorHAnsi" w:hAnsi="Arial" w:cs="Arial"/>
          <w:b/>
          <w:sz w:val="18"/>
          <w:szCs w:val="18"/>
        </w:rPr>
      </w:pPr>
      <w:r>
        <w:rPr>
          <w:rFonts w:ascii="Arial" w:eastAsiaTheme="minorHAnsi" w:hAnsi="Arial" w:cs="Arial"/>
          <w:b/>
          <w:sz w:val="18"/>
          <w:szCs w:val="18"/>
        </w:rPr>
        <w:t>Studija atliekama 4 žingsniais:</w:t>
      </w:r>
    </w:p>
    <w:p w14:paraId="52D6C5B5" w14:textId="77777777" w:rsidR="00EC3C54" w:rsidRDefault="007311F2">
      <w:pPr>
        <w:pStyle w:val="ListParagraph"/>
        <w:numPr>
          <w:ilvl w:val="2"/>
          <w:numId w:val="15"/>
        </w:numPr>
        <w:spacing w:before="240" w:after="240"/>
        <w:jc w:val="both"/>
        <w:outlineLvl w:val="1"/>
        <w:rPr>
          <w:rFonts w:ascii="Arial" w:hAnsi="Arial" w:cs="Arial"/>
          <w:sz w:val="18"/>
          <w:szCs w:val="18"/>
        </w:rPr>
      </w:pPr>
      <w:r>
        <w:rPr>
          <w:rFonts w:ascii="Arial" w:hAnsi="Arial" w:cs="Arial"/>
          <w:sz w:val="18"/>
          <w:szCs w:val="18"/>
        </w:rPr>
        <w:t>Išanalizuoti operatyvinio planavimo veiklos procesus  ir nustatyti kokie IT sprendimai naudojami šių veiklos procesų veikimo užtikrinimui;</w:t>
      </w:r>
    </w:p>
    <w:p w14:paraId="52D6C5B6" w14:textId="77777777" w:rsidR="00EC3C54" w:rsidRDefault="007311F2">
      <w:pPr>
        <w:pStyle w:val="ListParagraph"/>
        <w:numPr>
          <w:ilvl w:val="2"/>
          <w:numId w:val="15"/>
        </w:numPr>
        <w:spacing w:before="240" w:after="240"/>
        <w:jc w:val="both"/>
        <w:outlineLvl w:val="1"/>
        <w:rPr>
          <w:rFonts w:ascii="Arial" w:hAnsi="Arial" w:cs="Arial"/>
          <w:sz w:val="18"/>
          <w:szCs w:val="18"/>
        </w:rPr>
      </w:pPr>
      <w:r>
        <w:rPr>
          <w:rFonts w:ascii="Arial" w:hAnsi="Arial" w:cs="Arial"/>
          <w:sz w:val="18"/>
          <w:szCs w:val="18"/>
        </w:rPr>
        <w:t>Peržiūrėti, įvertinti ir išanalizuoti IT sprendimus, kurie buvo nustatyti pirmame punkte;</w:t>
      </w:r>
    </w:p>
    <w:p w14:paraId="52D6C5B7" w14:textId="77777777" w:rsidR="00EC3C54" w:rsidRDefault="007311F2">
      <w:pPr>
        <w:pStyle w:val="ListParagraph"/>
        <w:numPr>
          <w:ilvl w:val="2"/>
          <w:numId w:val="15"/>
        </w:numPr>
        <w:spacing w:before="240" w:after="240"/>
        <w:jc w:val="both"/>
        <w:outlineLvl w:val="1"/>
        <w:rPr>
          <w:rFonts w:ascii="Arial" w:hAnsi="Arial" w:cs="Arial"/>
          <w:sz w:val="18"/>
          <w:szCs w:val="18"/>
        </w:rPr>
      </w:pPr>
      <w:r>
        <w:rPr>
          <w:rFonts w:ascii="Arial" w:hAnsi="Arial" w:cs="Arial"/>
          <w:sz w:val="18"/>
          <w:szCs w:val="18"/>
        </w:rPr>
        <w:t>Įvertinti, kokios procesų ir duomenų valdymo sistemos, atsižvelgiant į gerąsias praktikas, naudojama rinkoje;</w:t>
      </w:r>
    </w:p>
    <w:p w14:paraId="52D6C5B8" w14:textId="77777777" w:rsidR="00EC3C54" w:rsidRDefault="007311F2">
      <w:pPr>
        <w:pStyle w:val="ListParagraph"/>
        <w:numPr>
          <w:ilvl w:val="2"/>
          <w:numId w:val="15"/>
        </w:numPr>
        <w:spacing w:before="240" w:after="240"/>
        <w:jc w:val="both"/>
        <w:outlineLvl w:val="1"/>
        <w:rPr>
          <w:rFonts w:ascii="Arial" w:hAnsi="Arial" w:cs="Arial"/>
          <w:sz w:val="18"/>
          <w:szCs w:val="18"/>
        </w:rPr>
      </w:pPr>
      <w:r>
        <w:rPr>
          <w:rFonts w:ascii="Arial" w:hAnsi="Arial" w:cs="Arial"/>
          <w:sz w:val="18"/>
          <w:szCs w:val="18"/>
        </w:rPr>
        <w:t>Parengti rekomendacijas IT sprendimų tobulinimui ar keitimui.</w:t>
      </w:r>
    </w:p>
    <w:p w14:paraId="52D6C5B9" w14:textId="77777777" w:rsidR="00EC3C54" w:rsidRDefault="007311F2">
      <w:pPr>
        <w:spacing w:before="240" w:after="240"/>
        <w:ind w:left="360"/>
        <w:jc w:val="both"/>
        <w:outlineLvl w:val="1"/>
        <w:rPr>
          <w:rFonts w:ascii="Arial" w:hAnsi="Arial" w:cs="Arial"/>
          <w:sz w:val="18"/>
          <w:szCs w:val="18"/>
        </w:rPr>
      </w:pPr>
      <w:r>
        <w:rPr>
          <w:rFonts w:ascii="Arial" w:hAnsi="Arial" w:cs="Arial"/>
          <w:sz w:val="18"/>
          <w:szCs w:val="18"/>
        </w:rPr>
        <w:lastRenderedPageBreak/>
        <w:t>Pastaba: Studijos tikslas nėra atlikti procesų optimizavimo ar procesų keitimo analizę. Procesų permodeliavimas, perrašymas ar TO-BE procesų kūrimas nėra šios studijos apimtis. Procesai analizuojami tik tiek, kiek reikia nustatyti ir įvertinti jų veikimui užtikrinti naudojamus IT sprendinius, sąsajas ir integracijas.</w:t>
      </w:r>
    </w:p>
    <w:p w14:paraId="52D6C5BA" w14:textId="77777777" w:rsidR="00EC3C54" w:rsidRDefault="007311F2">
      <w:pPr>
        <w:pStyle w:val="ListParagraph"/>
        <w:numPr>
          <w:ilvl w:val="1"/>
          <w:numId w:val="15"/>
        </w:numPr>
        <w:spacing w:before="240" w:after="240"/>
        <w:jc w:val="both"/>
        <w:outlineLvl w:val="1"/>
        <w:rPr>
          <w:rFonts w:ascii="Arial" w:eastAsiaTheme="minorHAnsi" w:hAnsi="Arial" w:cs="Arial"/>
          <w:b/>
          <w:bCs/>
          <w:sz w:val="18"/>
          <w:szCs w:val="18"/>
        </w:rPr>
      </w:pPr>
      <w:r>
        <w:rPr>
          <w:rFonts w:ascii="Arial" w:eastAsiaTheme="minorHAnsi" w:hAnsi="Arial" w:cs="Arial"/>
          <w:b/>
          <w:sz w:val="18"/>
          <w:szCs w:val="18"/>
        </w:rPr>
        <w:t>Išanalizuoti operatyvinio planavimo veiklos procesus ir nustatyti kokie IT sprendimai naudojami šių veiklos procesų veikimo užtikrinimui</w:t>
      </w:r>
    </w:p>
    <w:p w14:paraId="52D6C5BB" w14:textId="77777777" w:rsidR="00EC3C54" w:rsidRDefault="007311F2">
      <w:pPr>
        <w:pStyle w:val="ListParagraph"/>
        <w:numPr>
          <w:ilvl w:val="2"/>
          <w:numId w:val="15"/>
        </w:numPr>
        <w:spacing w:before="240" w:after="240"/>
        <w:jc w:val="both"/>
        <w:outlineLvl w:val="1"/>
        <w:rPr>
          <w:rFonts w:ascii="Arial" w:eastAsiaTheme="minorHAnsi" w:hAnsi="Arial" w:cs="Arial"/>
          <w:sz w:val="18"/>
          <w:szCs w:val="18"/>
        </w:rPr>
      </w:pPr>
      <w:bookmarkStart w:id="3" w:name="_Ref219891999"/>
      <w:r>
        <w:rPr>
          <w:rFonts w:ascii="Arial" w:eastAsiaTheme="minorHAnsi" w:hAnsi="Arial" w:cs="Arial"/>
          <w:sz w:val="18"/>
          <w:szCs w:val="18"/>
        </w:rPr>
        <w:t>Analizuojami Procesai:</w:t>
      </w:r>
      <w:bookmarkEnd w:id="3"/>
    </w:p>
    <w:p w14:paraId="52D6C5BC"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Elektros tinklo modeliavimas ir palaikymas (Y-1, M-1, W-1, D-2, D-1, DE);</w:t>
      </w:r>
    </w:p>
    <w:p w14:paraId="52D6C5BD"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Atjungimų valdymas (Y-1, M-1, W-1, D-2, D-1, DE);</w:t>
      </w:r>
    </w:p>
    <w:p w14:paraId="52D6C5BE"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 xml:space="preserve">Sistemos patikimumo vertinimas (D-2, D-1, DE);  </w:t>
      </w:r>
    </w:p>
    <w:p w14:paraId="52D6C5BF"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 xml:space="preserve">Tarpsisteminių pralaidumų nustatymas (Y-1, M-1, W-1, D-2, D-1, DE); </w:t>
      </w:r>
    </w:p>
    <w:p w14:paraId="52D6C5C0"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Sistemos adekvatumo vertinimas (Y-1, W-1, D-1);</w:t>
      </w:r>
    </w:p>
    <w:p w14:paraId="52D6C5C1"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Technologinių nuostolių planavimas (Y-1, D-1, DE)</w:t>
      </w:r>
    </w:p>
    <w:p w14:paraId="52D6C5C2"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Archyvinių duomenų kaupimas ir analizė (Y-1, M-1, W-1, D-2, D-1, DE, H-1, realaus laiko duomenys)</w:t>
      </w:r>
    </w:p>
    <w:p w14:paraId="52D6C5C3"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Papildomi Procesai, kurie reikalingi operatyvinio planavimo veiklai užtikrinti.</w:t>
      </w:r>
    </w:p>
    <w:p w14:paraId="52D6C5C4"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 xml:space="preserve">Esamų Procesų </w:t>
      </w:r>
      <w:r>
        <w:rPr>
          <w:rFonts w:ascii="Arial" w:hAnsi="Arial" w:cs="Arial"/>
          <w:color w:val="000000"/>
          <w:sz w:val="18"/>
          <w:szCs w:val="18"/>
        </w:rPr>
        <w:t xml:space="preserve">skaičius – 7, kurie susideda iš 34 sub procesų, papildomų vertinamų Procesų preliminarus kiekis – iki 10. Bendras procesų diagramų kiekis iki 44. </w:t>
      </w:r>
    </w:p>
    <w:p w14:paraId="52D6C5C5" w14:textId="10CF4FD0" w:rsidR="00EC3C54" w:rsidRDefault="007311F2">
      <w:pPr>
        <w:pStyle w:val="ListParagraph"/>
        <w:numPr>
          <w:ilvl w:val="2"/>
          <w:numId w:val="15"/>
        </w:numPr>
        <w:spacing w:before="240" w:after="240"/>
        <w:jc w:val="both"/>
        <w:outlineLvl w:val="1"/>
        <w:rPr>
          <w:rFonts w:ascii="Arial" w:hAnsi="Arial" w:cs="Arial"/>
          <w:color w:val="000000"/>
          <w:sz w:val="18"/>
          <w:szCs w:val="18"/>
        </w:rPr>
      </w:pPr>
      <w:bookmarkStart w:id="4" w:name="_Ref219892102"/>
      <w:r>
        <w:rPr>
          <w:rFonts w:ascii="Arial" w:hAnsi="Arial" w:cs="Arial"/>
          <w:sz w:val="18"/>
          <w:szCs w:val="18"/>
        </w:rPr>
        <w:t xml:space="preserve">Užsakovas sutarties vykdymo metu pateikia dokumentaciją, susijusią su  </w:t>
      </w:r>
      <w:r>
        <w:rPr>
          <w:rFonts w:ascii="Arial" w:hAnsi="Arial" w:cs="Arial"/>
          <w:sz w:val="18"/>
          <w:szCs w:val="18"/>
        </w:rPr>
        <w:fldChar w:fldCharType="begin"/>
      </w:r>
      <w:r>
        <w:rPr>
          <w:rFonts w:ascii="Arial" w:hAnsi="Arial" w:cs="Arial"/>
          <w:sz w:val="18"/>
          <w:szCs w:val="18"/>
        </w:rPr>
        <w:instrText xml:space="preserve"> REF _Ref219891999 \r \h </w:instrText>
      </w:r>
      <w:r>
        <w:rPr>
          <w:rFonts w:ascii="Arial" w:hAnsi="Arial" w:cs="Arial"/>
          <w:sz w:val="18"/>
          <w:szCs w:val="18"/>
        </w:rPr>
      </w:r>
      <w:r>
        <w:rPr>
          <w:rFonts w:ascii="Arial" w:hAnsi="Arial" w:cs="Arial"/>
          <w:sz w:val="18"/>
          <w:szCs w:val="18"/>
        </w:rPr>
        <w:fldChar w:fldCharType="separate"/>
      </w:r>
      <w:r w:rsidR="0031060A">
        <w:rPr>
          <w:rFonts w:ascii="Arial" w:hAnsi="Arial" w:cs="Arial"/>
          <w:sz w:val="18"/>
          <w:szCs w:val="18"/>
        </w:rPr>
        <w:t>4.2.1</w:t>
      </w:r>
      <w:r>
        <w:rPr>
          <w:rFonts w:ascii="Arial" w:hAnsi="Arial" w:cs="Arial"/>
          <w:sz w:val="18"/>
          <w:szCs w:val="18"/>
        </w:rPr>
        <w:fldChar w:fldCharType="end"/>
      </w:r>
      <w:r>
        <w:rPr>
          <w:rFonts w:ascii="Arial" w:hAnsi="Arial" w:cs="Arial"/>
          <w:color w:val="000000"/>
          <w:sz w:val="18"/>
          <w:szCs w:val="18"/>
        </w:rPr>
        <w:t xml:space="preserve"> punkte išvardintais Procesais. Procesų aprašymo įrankis – Bizagi Modeler, metodika – pagal ISO 9001 standartą. Procesų schemos ir aprašymai bus pateikiami Lietuvių kalba ir koreguojamu formatu (WORD).</w:t>
      </w:r>
      <w:r>
        <w:t xml:space="preserve"> </w:t>
      </w:r>
      <w:r>
        <w:rPr>
          <w:rFonts w:ascii="Arial" w:hAnsi="Arial" w:cs="Arial"/>
          <w:color w:val="000000"/>
          <w:sz w:val="18"/>
          <w:szCs w:val="18"/>
        </w:rPr>
        <w:t>Esant poreikiui, Užsakovas suteiks pagalbą verčiant procesų aprašus.</w:t>
      </w:r>
      <w:bookmarkEnd w:id="4"/>
    </w:p>
    <w:p w14:paraId="52D6C5C6" w14:textId="77777777" w:rsidR="00EC3C54" w:rsidRDefault="007311F2">
      <w:pPr>
        <w:pStyle w:val="ListParagraph"/>
        <w:numPr>
          <w:ilvl w:val="2"/>
          <w:numId w:val="15"/>
        </w:numPr>
        <w:spacing w:before="240" w:after="240"/>
        <w:jc w:val="both"/>
        <w:outlineLvl w:val="1"/>
        <w:rPr>
          <w:rFonts w:ascii="Arial" w:hAnsi="Arial" w:cs="Arial"/>
          <w:color w:val="000000"/>
          <w:sz w:val="18"/>
          <w:szCs w:val="18"/>
        </w:rPr>
      </w:pPr>
      <w:r>
        <w:rPr>
          <w:rFonts w:ascii="Arial" w:hAnsi="Arial" w:cs="Arial"/>
          <w:sz w:val="18"/>
          <w:szCs w:val="18"/>
        </w:rPr>
        <w:t>Rangovas privalo susipažinti su  Procesais ir identifikuoti Procesų žingsnių sąveiką su IT komponentais.</w:t>
      </w:r>
    </w:p>
    <w:p w14:paraId="52D6C5C7" w14:textId="77777777" w:rsidR="00EC3C54" w:rsidRDefault="007311F2">
      <w:pPr>
        <w:pStyle w:val="ListParagraph"/>
        <w:numPr>
          <w:ilvl w:val="2"/>
          <w:numId w:val="15"/>
        </w:numPr>
        <w:spacing w:before="240" w:after="240"/>
        <w:jc w:val="both"/>
        <w:outlineLvl w:val="1"/>
        <w:rPr>
          <w:rFonts w:ascii="Arial" w:hAnsi="Arial" w:cs="Arial"/>
          <w:sz w:val="18"/>
          <w:szCs w:val="18"/>
        </w:rPr>
      </w:pPr>
      <w:r>
        <w:rPr>
          <w:rFonts w:ascii="Arial" w:hAnsi="Arial" w:cs="Arial"/>
          <w:sz w:val="18"/>
          <w:szCs w:val="18"/>
        </w:rPr>
        <w:t>Užsakovas įsipareigoja suteikti rangovui visas reikalingas sąlygas susipažinti su Procesais ir jų aprašymais, įskaitant:</w:t>
      </w:r>
    </w:p>
    <w:p w14:paraId="52D6C5C8" w14:textId="2EC2F4B6" w:rsidR="00EC3C54" w:rsidRDefault="007311F2">
      <w:pPr>
        <w:pStyle w:val="ListParagraph"/>
        <w:numPr>
          <w:ilvl w:val="0"/>
          <w:numId w:val="10"/>
        </w:numPr>
        <w:spacing w:before="240" w:after="240"/>
        <w:jc w:val="both"/>
        <w:outlineLvl w:val="1"/>
        <w:rPr>
          <w:rFonts w:ascii="Arial" w:hAnsi="Arial" w:cs="Arial"/>
          <w:sz w:val="18"/>
          <w:szCs w:val="18"/>
        </w:rPr>
      </w:pPr>
      <w:r>
        <w:rPr>
          <w:rFonts w:ascii="Arial" w:hAnsi="Arial" w:cs="Arial"/>
          <w:sz w:val="18"/>
          <w:szCs w:val="18"/>
        </w:rPr>
        <w:t xml:space="preserve">Užsakovo pateiktų procesų dokumentų perdavimą rangovui savarankiškam susipažinimui (kaip nurodyta </w:t>
      </w:r>
      <w:r>
        <w:rPr>
          <w:rFonts w:ascii="Arial" w:hAnsi="Arial" w:cs="Arial"/>
          <w:sz w:val="18"/>
          <w:szCs w:val="18"/>
        </w:rPr>
        <w:fldChar w:fldCharType="begin"/>
      </w:r>
      <w:r>
        <w:rPr>
          <w:rFonts w:ascii="Arial" w:hAnsi="Arial" w:cs="Arial"/>
          <w:sz w:val="18"/>
          <w:szCs w:val="18"/>
        </w:rPr>
        <w:instrText xml:space="preserve"> REF _Ref219892102 \r \h </w:instrText>
      </w:r>
      <w:r>
        <w:rPr>
          <w:rFonts w:ascii="Arial" w:hAnsi="Arial" w:cs="Arial"/>
          <w:sz w:val="18"/>
          <w:szCs w:val="18"/>
        </w:rPr>
      </w:r>
      <w:r>
        <w:rPr>
          <w:rFonts w:ascii="Arial" w:hAnsi="Arial" w:cs="Arial"/>
          <w:sz w:val="18"/>
          <w:szCs w:val="18"/>
        </w:rPr>
        <w:fldChar w:fldCharType="separate"/>
      </w:r>
      <w:r w:rsidR="0031060A">
        <w:rPr>
          <w:rFonts w:ascii="Arial" w:hAnsi="Arial" w:cs="Arial"/>
          <w:sz w:val="18"/>
          <w:szCs w:val="18"/>
        </w:rPr>
        <w:t>4.2.2</w:t>
      </w:r>
      <w:r>
        <w:rPr>
          <w:rFonts w:ascii="Arial" w:hAnsi="Arial" w:cs="Arial"/>
          <w:sz w:val="18"/>
          <w:szCs w:val="18"/>
        </w:rPr>
        <w:fldChar w:fldCharType="end"/>
      </w:r>
      <w:r>
        <w:rPr>
          <w:rFonts w:ascii="Arial" w:hAnsi="Arial" w:cs="Arial"/>
          <w:sz w:val="18"/>
          <w:szCs w:val="18"/>
        </w:rPr>
        <w:t xml:space="preserve"> punkte);</w:t>
      </w:r>
    </w:p>
    <w:p w14:paraId="52D6C5C9" w14:textId="77777777" w:rsidR="00EC3C54" w:rsidRDefault="007311F2">
      <w:pPr>
        <w:pStyle w:val="ListParagraph"/>
        <w:numPr>
          <w:ilvl w:val="0"/>
          <w:numId w:val="10"/>
        </w:numPr>
        <w:spacing w:before="240" w:after="240"/>
        <w:jc w:val="both"/>
        <w:outlineLvl w:val="1"/>
        <w:rPr>
          <w:rFonts w:ascii="Arial" w:hAnsi="Arial" w:cs="Arial"/>
          <w:sz w:val="18"/>
          <w:szCs w:val="18"/>
        </w:rPr>
      </w:pPr>
      <w:r>
        <w:rPr>
          <w:rFonts w:ascii="Arial" w:hAnsi="Arial" w:cs="Arial"/>
          <w:sz w:val="18"/>
          <w:szCs w:val="18"/>
        </w:rPr>
        <w:t>Procesų pristatymų organizavimą – iš viso 7 sesijas (kiekvienai Procesų grupei po vieną sesiją, esant poreikiui bus organizuojamos papildomos sesijos).</w:t>
      </w:r>
    </w:p>
    <w:p w14:paraId="52D6C5CA" w14:textId="77777777" w:rsidR="00EC3C54" w:rsidRDefault="007311F2">
      <w:pPr>
        <w:pStyle w:val="ListParagraph"/>
        <w:numPr>
          <w:ilvl w:val="1"/>
          <w:numId w:val="15"/>
        </w:numPr>
        <w:spacing w:before="240" w:after="240"/>
        <w:jc w:val="both"/>
        <w:outlineLvl w:val="1"/>
        <w:rPr>
          <w:rFonts w:ascii="Arial" w:eastAsiaTheme="minorHAnsi" w:hAnsi="Arial" w:cs="Arial"/>
          <w:b/>
          <w:bCs/>
          <w:sz w:val="18"/>
          <w:szCs w:val="18"/>
        </w:rPr>
      </w:pPr>
      <w:r>
        <w:rPr>
          <w:rFonts w:ascii="Arial" w:eastAsiaTheme="minorHAnsi" w:hAnsi="Arial" w:cs="Arial"/>
          <w:b/>
          <w:bCs/>
          <w:sz w:val="18"/>
          <w:szCs w:val="18"/>
        </w:rPr>
        <w:t>Peržiūrėti, įvertinti ir išanalizuoti IT sprendimus</w:t>
      </w:r>
    </w:p>
    <w:p w14:paraId="52D6C5CB" w14:textId="77777777" w:rsidR="00EC3C54" w:rsidRDefault="007311F2">
      <w:pPr>
        <w:pStyle w:val="ListParagraph"/>
        <w:numPr>
          <w:ilvl w:val="3"/>
          <w:numId w:val="15"/>
        </w:numPr>
        <w:spacing w:before="240" w:after="240"/>
        <w:jc w:val="both"/>
        <w:outlineLvl w:val="1"/>
        <w:rPr>
          <w:rFonts w:ascii="Arial" w:hAnsi="Arial" w:cs="Arial"/>
          <w:sz w:val="18"/>
          <w:szCs w:val="18"/>
        </w:rPr>
      </w:pPr>
      <w:bookmarkStart w:id="5" w:name="_Ref219893434"/>
      <w:r>
        <w:rPr>
          <w:rFonts w:ascii="Arial" w:hAnsi="Arial" w:cs="Arial"/>
          <w:sz w:val="18"/>
          <w:szCs w:val="18"/>
        </w:rPr>
        <w:t>Įvertinti ir išanalizuoti IT sprendimų naudojimą Procesuose:</w:t>
      </w:r>
      <w:bookmarkEnd w:id="5"/>
    </w:p>
    <w:p w14:paraId="52D6C5CC"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 xml:space="preserve">Elektros tinklo modeliavimo programų PSS/E ir ODMS naudojimą; </w:t>
      </w:r>
    </w:p>
    <w:p w14:paraId="52D6C5CD"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STATERA naudojimą;</w:t>
      </w:r>
    </w:p>
    <w:p w14:paraId="52D6C5CE"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Vidinių automatizavimo ir skaičiavimo įrankių, sukurtų Python kalba, naudojimą;</w:t>
      </w:r>
    </w:p>
    <w:p w14:paraId="52D6C5CF"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Kitų IT sprendimų, identifikuotų susipažinus su Procesais, naudojimą.</w:t>
      </w:r>
    </w:p>
    <w:p w14:paraId="52D6C5D0" w14:textId="77777777" w:rsidR="00EC3C54" w:rsidRDefault="007311F2">
      <w:pPr>
        <w:pStyle w:val="ListParagraph"/>
        <w:numPr>
          <w:ilvl w:val="3"/>
          <w:numId w:val="15"/>
        </w:numPr>
        <w:spacing w:before="240" w:after="240"/>
        <w:jc w:val="both"/>
        <w:outlineLvl w:val="1"/>
      </w:pPr>
      <w:r>
        <w:rPr>
          <w:rFonts w:ascii="Arial" w:hAnsi="Arial" w:cs="Arial"/>
          <w:sz w:val="18"/>
          <w:szCs w:val="18"/>
        </w:rPr>
        <w:t>Žemiau pateikiama principinė schema, parodanti pagrindinius komponentus ir jų sąveikas. Žaliai pažymėta dalis atspindi esamus sprendinius, naudojamus operatyvinio planavimo veikloje, tačiau tai nėra Studijos apimties ribojimas. Studija apima visus operatyvinio planavimo procesus, vidines sistemas ir integracijas.</w:t>
      </w:r>
      <w:r>
        <w:rPr>
          <w:noProof/>
        </w:rPr>
        <w:drawing>
          <wp:inline distT="0" distB="0" distL="0" distR="0" wp14:anchorId="52D6C63F" wp14:editId="52D6C640">
            <wp:extent cx="4874871" cy="3152633"/>
            <wp:effectExtent l="0" t="0" r="2540" b="0"/>
            <wp:docPr id="1" name="Picture 2" descr="A diagram of a softwar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4871" cy="3152633"/>
                    </a:xfrm>
                    <a:prstGeom prst="rect">
                      <a:avLst/>
                    </a:prstGeom>
                  </pic:spPr>
                </pic:pic>
              </a:graphicData>
            </a:graphic>
          </wp:inline>
        </w:drawing>
      </w:r>
    </w:p>
    <w:p w14:paraId="52D6C5D1" w14:textId="0832B13A" w:rsidR="00EC3C54" w:rsidRDefault="00F73770">
      <w:pPr>
        <w:tabs>
          <w:tab w:val="left" w:pos="851"/>
          <w:tab w:val="left" w:pos="1843"/>
        </w:tabs>
        <w:spacing w:before="240" w:after="240" w:line="240" w:lineRule="auto"/>
        <w:ind w:left="1020" w:hanging="680"/>
        <w:contextualSpacing/>
        <w:rPr>
          <w:rFonts w:ascii="Times New Roman" w:hAnsi="Times New Roman" w:cs="Times New Roman"/>
          <w:sz w:val="24"/>
          <w:szCs w:val="24"/>
        </w:rPr>
      </w:pPr>
      <w:r>
        <w:rPr>
          <w:rFonts w:ascii="Arial" w:hAnsi="Arial" w:cs="Arial"/>
          <w:sz w:val="18"/>
          <w:szCs w:val="18"/>
        </w:rPr>
        <w:t>4</w:t>
      </w:r>
      <w:r w:rsidR="007311F2">
        <w:rPr>
          <w:rFonts w:ascii="Arial" w:hAnsi="Arial" w:cs="Arial"/>
          <w:sz w:val="18"/>
          <w:szCs w:val="18"/>
        </w:rPr>
        <w:t>.3.1.7</w:t>
      </w:r>
      <w:r w:rsidR="007311F2">
        <w:rPr>
          <w:rFonts w:ascii="Arial" w:eastAsia="Times New Roman" w:hAnsi="Arial" w:cs="Arial"/>
          <w:sz w:val="18"/>
          <w:szCs w:val="18"/>
        </w:rPr>
        <w:t>. Užsakovas įsipareigoja suteikti Rangovui reikalingas sąlygas susipažinti su operatyvinio planavimo IT sprendimais, jų atliekamomis funkcijomis, naudojimo principais ir tarpusavio integracijomis, kiek tai neprieštarauja taikomiems teisės aktams, informacijos saugos reikalavimams ir konfidencialumo įsipareigojimams. Šiam tikslui Užsakovas organizuos ne mažiau kaip 3 (tris) darbines sesijas, kurių metu pristatys pagrindines sistemas, jų sąveikas, duomenų mainų logiką ir techninį veikimo kontekstą. Rangovui nebus teikiami konfidencialūs ar riboto naudojimo dokumentai, taip pat nesuteikiamos prieigos prie jautrios informacijos ar sistemų aplinkų.</w:t>
      </w:r>
    </w:p>
    <w:p w14:paraId="52D6C5D2" w14:textId="77777777" w:rsidR="00EC3C54" w:rsidRDefault="007311F2">
      <w:pPr>
        <w:pStyle w:val="ListParagraph"/>
        <w:numPr>
          <w:ilvl w:val="2"/>
          <w:numId w:val="15"/>
        </w:numPr>
        <w:tabs>
          <w:tab w:val="left" w:pos="851"/>
          <w:tab w:val="left" w:pos="1843"/>
        </w:tabs>
      </w:pPr>
      <w:r>
        <w:rPr>
          <w:rFonts w:ascii="Arial" w:hAnsi="Arial" w:cs="Arial"/>
          <w:sz w:val="18"/>
          <w:szCs w:val="18"/>
        </w:rPr>
        <w:lastRenderedPageBreak/>
        <w:t>Analizės metu turi būti atliktas IT sprendimų vertinimas pagal žemiau pateiktus aspektus, bet neapsiribojant:</w:t>
      </w:r>
    </w:p>
    <w:p w14:paraId="52D6C5D3" w14:textId="77777777" w:rsidR="00EC3C54" w:rsidRDefault="007311F2">
      <w:pPr>
        <w:pStyle w:val="ListParagraph"/>
        <w:numPr>
          <w:ilvl w:val="0"/>
          <w:numId w:val="7"/>
        </w:numPr>
        <w:rPr>
          <w:rFonts w:ascii="Arial" w:hAnsi="Arial" w:cs="Arial"/>
          <w:sz w:val="18"/>
          <w:szCs w:val="18"/>
        </w:rPr>
      </w:pPr>
      <w:r>
        <w:rPr>
          <w:rFonts w:ascii="Arial" w:hAnsi="Arial" w:cs="Arial"/>
          <w:sz w:val="18"/>
          <w:szCs w:val="18"/>
        </w:rPr>
        <w:t>Efektyvumas ir našumas – IT sprendimų darbo našumas ir techninių bei žmogiškųjų resursų panaudojimas.</w:t>
      </w:r>
    </w:p>
    <w:p w14:paraId="52D6C5D4" w14:textId="77777777" w:rsidR="00EC3C54" w:rsidRDefault="007311F2">
      <w:pPr>
        <w:pStyle w:val="ListParagraph"/>
        <w:numPr>
          <w:ilvl w:val="0"/>
          <w:numId w:val="7"/>
        </w:numPr>
        <w:rPr>
          <w:rFonts w:ascii="Arial" w:hAnsi="Arial" w:cs="Arial"/>
          <w:sz w:val="18"/>
          <w:szCs w:val="18"/>
        </w:rPr>
      </w:pPr>
      <w:r>
        <w:rPr>
          <w:rFonts w:ascii="Arial" w:hAnsi="Arial" w:cs="Arial"/>
          <w:sz w:val="18"/>
          <w:szCs w:val="18"/>
        </w:rPr>
        <w:t>Procesų automatizavimo apimtis – nustatyti, kurios operatyvinio planavimo proceso dalys yra automatizuotos, ir įvertinti automatizuotų žingsnių efektyvumą.</w:t>
      </w:r>
    </w:p>
    <w:p w14:paraId="52D6C5D5" w14:textId="77777777" w:rsidR="00EC3C54" w:rsidRDefault="007311F2">
      <w:pPr>
        <w:pStyle w:val="ListParagraph"/>
        <w:numPr>
          <w:ilvl w:val="0"/>
          <w:numId w:val="7"/>
        </w:numPr>
        <w:rPr>
          <w:rFonts w:ascii="Arial" w:hAnsi="Arial" w:cs="Arial"/>
          <w:sz w:val="18"/>
          <w:szCs w:val="18"/>
        </w:rPr>
      </w:pPr>
      <w:r>
        <w:rPr>
          <w:rFonts w:ascii="Arial" w:hAnsi="Arial" w:cs="Arial"/>
          <w:sz w:val="18"/>
          <w:szCs w:val="18"/>
        </w:rPr>
        <w:t>Duomenų kaupimo būdas ir formatas – duomenų saugojimo būdas (duomenų bazės, failų saugyklos ar pan.),  prieinamumas (duomenų paieškos galimybės, teisės į duomenų peržiūrą ir pan.), saugomų duomenų kokybė (vientisumas, dubliavimas ir pan.), ataskaitų generavimo sprendimai.</w:t>
      </w:r>
    </w:p>
    <w:p w14:paraId="52D6C5D6" w14:textId="77777777" w:rsidR="00EC3C54" w:rsidRDefault="007311F2">
      <w:pPr>
        <w:pStyle w:val="ListParagraph"/>
        <w:numPr>
          <w:ilvl w:val="0"/>
          <w:numId w:val="7"/>
        </w:numPr>
        <w:rPr>
          <w:rFonts w:ascii="Arial" w:hAnsi="Arial" w:cs="Arial"/>
          <w:sz w:val="18"/>
          <w:szCs w:val="18"/>
        </w:rPr>
      </w:pPr>
      <w:r>
        <w:rPr>
          <w:rFonts w:ascii="Arial" w:hAnsi="Arial" w:cs="Arial"/>
          <w:sz w:val="18"/>
          <w:szCs w:val="18"/>
        </w:rPr>
        <w:t>Įrankių lankstumas ir plėtros galimybės – IT sprendimų konfigūravimo galimybės, funkcionalumo plėtra, suderinamumas su kitomis sistemomis ir prisitaikymas prie procesų pokyčių.</w:t>
      </w:r>
    </w:p>
    <w:p w14:paraId="52D6C5D7" w14:textId="77777777" w:rsidR="00EC3C54" w:rsidRDefault="007311F2">
      <w:pPr>
        <w:pStyle w:val="ListParagraph"/>
        <w:numPr>
          <w:ilvl w:val="0"/>
          <w:numId w:val="7"/>
        </w:numPr>
        <w:rPr>
          <w:rFonts w:ascii="Arial" w:hAnsi="Arial" w:cs="Arial"/>
          <w:sz w:val="18"/>
          <w:szCs w:val="18"/>
        </w:rPr>
      </w:pPr>
      <w:r>
        <w:rPr>
          <w:rFonts w:ascii="Arial" w:hAnsi="Arial" w:cs="Arial"/>
          <w:sz w:val="18"/>
          <w:szCs w:val="18"/>
        </w:rPr>
        <w:t>Dokumentavimo būklė – IT sprendimų dokumentacijos pilnumas, struktūra ir atnaujinimo procesas.</w:t>
      </w:r>
    </w:p>
    <w:p w14:paraId="52D6C5D8" w14:textId="77777777" w:rsidR="00EC3C54" w:rsidRDefault="007311F2">
      <w:pPr>
        <w:pStyle w:val="ListParagraph"/>
        <w:numPr>
          <w:ilvl w:val="2"/>
          <w:numId w:val="15"/>
        </w:numPr>
        <w:rPr>
          <w:rFonts w:ascii="Arial" w:hAnsi="Arial" w:cs="Arial"/>
          <w:sz w:val="18"/>
          <w:szCs w:val="18"/>
        </w:rPr>
      </w:pPr>
      <w:r>
        <w:rPr>
          <w:rFonts w:ascii="Arial" w:hAnsi="Arial" w:cs="Arial"/>
          <w:sz w:val="18"/>
          <w:szCs w:val="18"/>
        </w:rPr>
        <w:t>Analizės metu turi būti įvertintos visos operatyvinio planavimo veikloje naudojamos integracijos ir pagalbiniai įrankiai:</w:t>
      </w:r>
    </w:p>
    <w:p w14:paraId="52D6C5D9" w14:textId="77777777" w:rsidR="00EC3C54" w:rsidRDefault="007311F2">
      <w:pPr>
        <w:pStyle w:val="ListParagraph"/>
        <w:numPr>
          <w:ilvl w:val="0"/>
          <w:numId w:val="11"/>
        </w:numPr>
        <w:rPr>
          <w:rFonts w:ascii="Arial" w:hAnsi="Arial" w:cs="Arial"/>
          <w:sz w:val="18"/>
          <w:szCs w:val="18"/>
        </w:rPr>
      </w:pPr>
      <w:r>
        <w:rPr>
          <w:rFonts w:ascii="Arial" w:hAnsi="Arial" w:cs="Arial"/>
          <w:sz w:val="18"/>
          <w:szCs w:val="18"/>
        </w:rPr>
        <w:t>Įvertinti IT sprendimų duomenų mainų kokybę, stabilumą, išpildymo lygį, patikimumą ir tinkamumą procesų poreikiams.</w:t>
      </w:r>
    </w:p>
    <w:p w14:paraId="52D6C5DA" w14:textId="77777777" w:rsidR="00EC3C54" w:rsidRDefault="007311F2">
      <w:pPr>
        <w:pStyle w:val="ListParagraph"/>
        <w:numPr>
          <w:ilvl w:val="0"/>
          <w:numId w:val="11"/>
        </w:numPr>
        <w:rPr>
          <w:rFonts w:ascii="Arial" w:hAnsi="Arial" w:cs="Arial"/>
          <w:sz w:val="18"/>
          <w:szCs w:val="18"/>
        </w:rPr>
      </w:pPr>
      <w:r>
        <w:rPr>
          <w:rFonts w:ascii="Arial" w:hAnsi="Arial" w:cs="Arial"/>
          <w:sz w:val="18"/>
          <w:szCs w:val="18"/>
        </w:rPr>
        <w:t xml:space="preserve">Įvertinti Python skriptų struktūrą ir panaudojimą – įvertinti skriptų funkcionalumą, lankstumą dėl pritaikymo operatyvinio planavimo procesų reikalavimams, jų įtaką procesų žingsniams, automatizuoto paleidimo sprendimus, palaikymo galimybes ir suderinamumą. </w:t>
      </w:r>
    </w:p>
    <w:p w14:paraId="52D6C5DB" w14:textId="77777777" w:rsidR="00EC3C54" w:rsidRDefault="007311F2">
      <w:pPr>
        <w:pStyle w:val="ListParagraph"/>
        <w:numPr>
          <w:ilvl w:val="0"/>
          <w:numId w:val="11"/>
        </w:numPr>
        <w:rPr>
          <w:rFonts w:ascii="Arial" w:hAnsi="Arial" w:cs="Arial"/>
          <w:sz w:val="18"/>
          <w:szCs w:val="18"/>
        </w:rPr>
      </w:pPr>
      <w:r>
        <w:rPr>
          <w:rFonts w:ascii="Arial" w:hAnsi="Arial" w:cs="Arial"/>
          <w:sz w:val="18"/>
          <w:szCs w:val="18"/>
        </w:rPr>
        <w:t>Įvertinti tinklinio disko naudojimą – įvertinti tinklinio disko naudojimą kaip integracijos sprendimą, duomenų perdavimo logiką, saugumo ir prieigos valdymo aspektus bei tinkamumą procesų poreikiams.</w:t>
      </w:r>
    </w:p>
    <w:p w14:paraId="52D6C5DC" w14:textId="77777777" w:rsidR="00EC3C54" w:rsidRDefault="00EC3C54">
      <w:pPr>
        <w:pStyle w:val="ListParagraph"/>
        <w:ind w:left="1260"/>
        <w:rPr>
          <w:rFonts w:ascii="Arial" w:hAnsi="Arial" w:cs="Arial"/>
          <w:sz w:val="18"/>
          <w:szCs w:val="18"/>
        </w:rPr>
      </w:pPr>
    </w:p>
    <w:p w14:paraId="52D6C5DD" w14:textId="77777777" w:rsidR="00EC3C54" w:rsidRDefault="007311F2">
      <w:pPr>
        <w:pStyle w:val="ListParagraph"/>
        <w:numPr>
          <w:ilvl w:val="1"/>
          <w:numId w:val="15"/>
        </w:numPr>
        <w:spacing w:before="240" w:after="240"/>
        <w:jc w:val="both"/>
        <w:outlineLvl w:val="1"/>
        <w:rPr>
          <w:rFonts w:ascii="Arial" w:hAnsi="Arial" w:cs="Arial"/>
          <w:b/>
          <w:bCs/>
          <w:sz w:val="18"/>
          <w:szCs w:val="18"/>
        </w:rPr>
      </w:pPr>
      <w:r>
        <w:rPr>
          <w:rFonts w:ascii="Arial" w:hAnsi="Arial" w:cs="Arial"/>
          <w:b/>
          <w:bCs/>
          <w:sz w:val="18"/>
          <w:szCs w:val="18"/>
        </w:rPr>
        <w:t>Įvertinti kas pagal gerąsias praktikas naudojama rinkoje</w:t>
      </w:r>
    </w:p>
    <w:p w14:paraId="52D6C5DE" w14:textId="77777777" w:rsidR="00EC3C54" w:rsidRDefault="007311F2">
      <w:pPr>
        <w:pStyle w:val="ListParagraph"/>
        <w:numPr>
          <w:ilvl w:val="2"/>
          <w:numId w:val="15"/>
        </w:numPr>
        <w:spacing w:before="240" w:after="240"/>
        <w:jc w:val="both"/>
        <w:outlineLvl w:val="1"/>
        <w:rPr>
          <w:rFonts w:ascii="Arial" w:hAnsi="Arial" w:cs="Arial"/>
          <w:sz w:val="18"/>
          <w:szCs w:val="18"/>
        </w:rPr>
      </w:pPr>
      <w:r>
        <w:rPr>
          <w:rFonts w:ascii="Arial" w:eastAsiaTheme="minorEastAsia" w:hAnsi="Arial" w:cs="Arial"/>
          <w:sz w:val="18"/>
          <w:szCs w:val="18"/>
        </w:rPr>
        <w:t>Rangovas privalo atlikti rinkos analizę ir įvertinti operatyvinio planavimo Procesų valdymo IT sprendimus, kokius naudoja kiti PSO ir rinkos dalyviai.</w:t>
      </w:r>
    </w:p>
    <w:p w14:paraId="52D6C5DF" w14:textId="77777777" w:rsidR="00EC3C54" w:rsidRDefault="007311F2">
      <w:pPr>
        <w:pStyle w:val="ListParagraph"/>
        <w:numPr>
          <w:ilvl w:val="2"/>
          <w:numId w:val="15"/>
        </w:numPr>
        <w:spacing w:before="240" w:after="240"/>
        <w:jc w:val="both"/>
        <w:outlineLvl w:val="1"/>
        <w:rPr>
          <w:rFonts w:ascii="Arial" w:hAnsi="Arial" w:cs="Arial"/>
          <w:sz w:val="18"/>
          <w:szCs w:val="18"/>
        </w:rPr>
      </w:pPr>
      <w:r>
        <w:rPr>
          <w:rFonts w:ascii="Arial" w:hAnsi="Arial" w:cs="Arial"/>
          <w:sz w:val="18"/>
          <w:szCs w:val="18"/>
        </w:rPr>
        <w:t>Analizuojant IT sprendimus būtina atsižvelgti į tai, kad nagrinėjami IT sprendimai turi užtikrinti atitiktį ENTSO</w:t>
      </w:r>
      <w:r>
        <w:rPr>
          <w:rFonts w:ascii="Cambria Math" w:hAnsi="Cambria Math" w:cs="Cambria Math"/>
          <w:sz w:val="18"/>
          <w:szCs w:val="18"/>
        </w:rPr>
        <w:t>‑</w:t>
      </w:r>
      <w:r>
        <w:rPr>
          <w:rFonts w:ascii="Arial" w:hAnsi="Arial" w:cs="Arial"/>
          <w:sz w:val="18"/>
          <w:szCs w:val="18"/>
        </w:rPr>
        <w:t>E EDI standartams ir užtikrinti ENTSO</w:t>
      </w:r>
      <w:r>
        <w:rPr>
          <w:rFonts w:ascii="Cambria Math" w:hAnsi="Cambria Math" w:cs="Cambria Math"/>
          <w:sz w:val="18"/>
          <w:szCs w:val="18"/>
        </w:rPr>
        <w:t>‑</w:t>
      </w:r>
      <w:r>
        <w:rPr>
          <w:rFonts w:ascii="Arial" w:hAnsi="Arial" w:cs="Arial"/>
          <w:sz w:val="18"/>
          <w:szCs w:val="18"/>
        </w:rPr>
        <w:t>E EDI Library dokumentų palaikymą bei jų versijavimą, taip užtikrinant sklandžius ir standartus atitinkančius duomenų mainus tarp PSO ir/arba rinkos dalyvių.</w:t>
      </w:r>
    </w:p>
    <w:p w14:paraId="52D6C5E0" w14:textId="77777777" w:rsidR="00EC3C54" w:rsidRDefault="007311F2">
      <w:pPr>
        <w:pStyle w:val="ListParagraph"/>
        <w:numPr>
          <w:ilvl w:val="2"/>
          <w:numId w:val="15"/>
        </w:numPr>
        <w:spacing w:before="240" w:after="240"/>
        <w:jc w:val="both"/>
        <w:outlineLvl w:val="1"/>
        <w:rPr>
          <w:rFonts w:ascii="Arial" w:hAnsi="Arial" w:cs="Arial"/>
          <w:sz w:val="18"/>
          <w:szCs w:val="18"/>
        </w:rPr>
      </w:pPr>
      <w:r>
        <w:rPr>
          <w:rFonts w:ascii="Arial" w:hAnsi="Arial" w:cs="Arial"/>
          <w:sz w:val="18"/>
          <w:szCs w:val="18"/>
        </w:rPr>
        <w:t>Vykdant rinkos analizę reikia vertinti, bet neapsiribojant, IT sprendimų:</w:t>
      </w:r>
    </w:p>
    <w:p w14:paraId="52D6C5E1"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Kokybę ir patikimumą atsižvelgiant į naudojamų įrankių technologijas ir architektūrą;</w:t>
      </w:r>
    </w:p>
    <w:p w14:paraId="52D6C5E2"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Naudotojų atsiliepimus;</w:t>
      </w:r>
    </w:p>
    <w:p w14:paraId="52D6C5E3"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Rinkoje žinomas rizikas ir problematiką;</w:t>
      </w:r>
    </w:p>
    <w:p w14:paraId="52D6C5E4"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Galimų rangovų sąrašą, vertinant jų patikimumą, kompetenciją, patirtį (tiek vystant/diegiant IT sprendimus, tiek vykdant projektus), stipriąsias ir silpnąsias puses bei gebėjimą užtikrinti 24/7 palaikymą.</w:t>
      </w:r>
    </w:p>
    <w:p w14:paraId="52D6C5E5" w14:textId="77777777" w:rsidR="00EC3C54" w:rsidRDefault="007311F2">
      <w:pPr>
        <w:pStyle w:val="ListParagraph"/>
        <w:numPr>
          <w:ilvl w:val="2"/>
          <w:numId w:val="15"/>
        </w:numPr>
        <w:spacing w:before="240" w:after="240"/>
        <w:jc w:val="both"/>
        <w:outlineLvl w:val="1"/>
        <w:rPr>
          <w:rFonts w:ascii="Arial" w:hAnsi="Arial" w:cs="Arial"/>
          <w:sz w:val="18"/>
          <w:szCs w:val="18"/>
        </w:rPr>
      </w:pPr>
      <w:r>
        <w:rPr>
          <w:rFonts w:ascii="Arial" w:hAnsi="Arial" w:cs="Arial"/>
          <w:sz w:val="18"/>
          <w:szCs w:val="18"/>
        </w:rPr>
        <w:t>Rangovas privalo išnagrinėti ne mažiau kaip 3 rinkoje naudojamus IT sprendimus, kuriuos taiko kiti ES PSO.</w:t>
      </w:r>
    </w:p>
    <w:p w14:paraId="52D6C5E6" w14:textId="77777777" w:rsidR="00EC3C54" w:rsidRDefault="00EC3C54">
      <w:pPr>
        <w:pStyle w:val="ListParagraph"/>
        <w:spacing w:before="240" w:after="240"/>
        <w:ind w:left="1080"/>
        <w:jc w:val="both"/>
        <w:outlineLvl w:val="1"/>
        <w:rPr>
          <w:rFonts w:ascii="Arial" w:hAnsi="Arial" w:cs="Arial"/>
          <w:sz w:val="18"/>
          <w:szCs w:val="18"/>
        </w:rPr>
      </w:pPr>
    </w:p>
    <w:p w14:paraId="52D6C5E7" w14:textId="77777777" w:rsidR="00EC3C54" w:rsidRDefault="007311F2">
      <w:pPr>
        <w:pStyle w:val="ListParagraph"/>
        <w:numPr>
          <w:ilvl w:val="1"/>
          <w:numId w:val="15"/>
        </w:numPr>
        <w:spacing w:before="240" w:after="240"/>
        <w:jc w:val="both"/>
        <w:outlineLvl w:val="1"/>
        <w:rPr>
          <w:rFonts w:ascii="Arial" w:hAnsi="Arial" w:cs="Arial"/>
          <w:b/>
          <w:sz w:val="18"/>
          <w:szCs w:val="18"/>
        </w:rPr>
      </w:pPr>
      <w:r>
        <w:rPr>
          <w:rFonts w:ascii="Arial" w:hAnsi="Arial" w:cs="Arial"/>
          <w:b/>
          <w:sz w:val="18"/>
          <w:szCs w:val="18"/>
        </w:rPr>
        <w:t>Paruošti rekomendacijas</w:t>
      </w:r>
    </w:p>
    <w:p w14:paraId="52D6C5E8" w14:textId="77777777" w:rsidR="00EC3C54" w:rsidRDefault="007311F2">
      <w:pPr>
        <w:pStyle w:val="ListParagraph"/>
        <w:numPr>
          <w:ilvl w:val="2"/>
          <w:numId w:val="15"/>
        </w:numPr>
        <w:spacing w:before="240" w:after="240"/>
        <w:jc w:val="both"/>
        <w:outlineLvl w:val="1"/>
        <w:rPr>
          <w:rFonts w:ascii="Arial" w:hAnsi="Arial" w:cs="Arial"/>
          <w:sz w:val="18"/>
          <w:szCs w:val="18"/>
        </w:rPr>
      </w:pPr>
      <w:r>
        <w:rPr>
          <w:rFonts w:ascii="Arial" w:hAnsi="Arial" w:cs="Arial"/>
          <w:sz w:val="18"/>
          <w:szCs w:val="18"/>
        </w:rPr>
        <w:t xml:space="preserve">Rangovas, atlikęs Techninėje specifikacijoje nurodytas užduotis, turi parengti pagrįstas rekomendacijas kaip tobulinti/keisti esamus IT sprendimus. </w:t>
      </w:r>
    </w:p>
    <w:p w14:paraId="52D6C5E9" w14:textId="77777777" w:rsidR="00EC3C54" w:rsidRDefault="007311F2">
      <w:pPr>
        <w:pStyle w:val="ListParagraph"/>
        <w:numPr>
          <w:ilvl w:val="2"/>
          <w:numId w:val="15"/>
        </w:numPr>
        <w:spacing w:before="240" w:after="240"/>
        <w:jc w:val="both"/>
        <w:outlineLvl w:val="1"/>
        <w:rPr>
          <w:rFonts w:ascii="Arial" w:hAnsi="Arial" w:cs="Arial"/>
          <w:sz w:val="18"/>
          <w:szCs w:val="18"/>
        </w:rPr>
      </w:pPr>
      <w:r>
        <w:rPr>
          <w:rFonts w:ascii="Arial" w:hAnsi="Arial" w:cs="Arial"/>
          <w:sz w:val="18"/>
          <w:szCs w:val="18"/>
        </w:rPr>
        <w:t>Reikalavimai rekomendacijų pateikimui:</w:t>
      </w:r>
    </w:p>
    <w:p w14:paraId="52D6C5EA"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 xml:space="preserve">Rekomendacijos turi būti pateiktos raštu, aiškiai struktūruotos pagal nagrinėtas temas, pateikiant argumentus, kurie turėtų būti paremti atlikta Procesuose naudojamų IT sprendimų ir rinkoje naudojamų IT sprendimų analize. </w:t>
      </w:r>
    </w:p>
    <w:p w14:paraId="52D6C5EB"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 xml:space="preserve">Parengtoje rekomendacijoje turi būti suformuluotos bent 3 alternatyvos kaip tobulinti arba pakeisti esamus IT sprendimus. </w:t>
      </w:r>
    </w:p>
    <w:p w14:paraId="52D6C5EC"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Kiekvienai alternatyvai turi būti pateikiama SWOT analizė.</w:t>
      </w:r>
    </w:p>
    <w:p w14:paraId="52D6C5ED"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Turi būti pateikiamas alternatyvų rizikų valdymo priemonių planas.</w:t>
      </w:r>
    </w:p>
    <w:p w14:paraId="52D6C5EE" w14:textId="77777777" w:rsidR="00EC3C54" w:rsidRDefault="007311F2">
      <w:pPr>
        <w:pStyle w:val="ListParagraph"/>
        <w:numPr>
          <w:ilvl w:val="3"/>
          <w:numId w:val="15"/>
        </w:numPr>
        <w:spacing w:before="240" w:after="240"/>
        <w:jc w:val="both"/>
        <w:outlineLvl w:val="1"/>
        <w:rPr>
          <w:rFonts w:ascii="Arial" w:hAnsi="Arial" w:cs="Arial"/>
          <w:sz w:val="18"/>
          <w:szCs w:val="18"/>
        </w:rPr>
      </w:pPr>
      <w:r>
        <w:rPr>
          <w:rFonts w:ascii="Arial" w:hAnsi="Arial" w:cs="Arial"/>
          <w:sz w:val="18"/>
          <w:szCs w:val="18"/>
        </w:rPr>
        <w:t xml:space="preserve">Turi būti pateikiama kiekvienos alternatyvos finansinis vertinimas, įskaitant įgyvendinimo kaštus, metines palaikymo sąnaudas ir kitus numatomus finansinius įsipareigojimus. </w:t>
      </w:r>
    </w:p>
    <w:p w14:paraId="52D6C5EF" w14:textId="77777777" w:rsidR="00EC3C54" w:rsidRDefault="007311F2">
      <w:pPr>
        <w:pStyle w:val="ListParagraph"/>
        <w:numPr>
          <w:ilvl w:val="2"/>
          <w:numId w:val="15"/>
        </w:numPr>
        <w:spacing w:before="240" w:after="240"/>
        <w:jc w:val="both"/>
        <w:outlineLvl w:val="1"/>
        <w:rPr>
          <w:rFonts w:ascii="Arial" w:hAnsi="Arial" w:cs="Arial"/>
          <w:sz w:val="18"/>
          <w:szCs w:val="18"/>
        </w:rPr>
      </w:pPr>
      <w:r>
        <w:rPr>
          <w:rFonts w:ascii="Arial" w:hAnsi="Arial" w:cs="Arial"/>
          <w:sz w:val="18"/>
          <w:szCs w:val="18"/>
        </w:rPr>
        <w:t>Bent viena alternatyva turi numatyti naujos informacinės sistemos įsigijimą, skirtą įgyvendinti dalį arba visą IT sprendimo funkcionalumą.</w:t>
      </w:r>
    </w:p>
    <w:p w14:paraId="52D6C5F0" w14:textId="77777777" w:rsidR="00EC3C54" w:rsidRDefault="007311F2">
      <w:pPr>
        <w:pStyle w:val="ListParagraph"/>
        <w:numPr>
          <w:ilvl w:val="2"/>
          <w:numId w:val="15"/>
        </w:numPr>
        <w:spacing w:before="240" w:after="240"/>
        <w:jc w:val="both"/>
        <w:outlineLvl w:val="1"/>
        <w:rPr>
          <w:rFonts w:ascii="Arial" w:hAnsi="Arial" w:cs="Arial"/>
          <w:sz w:val="18"/>
          <w:szCs w:val="18"/>
        </w:rPr>
      </w:pPr>
      <w:r>
        <w:rPr>
          <w:rFonts w:ascii="Arial" w:hAnsi="Arial" w:cs="Arial"/>
          <w:sz w:val="18"/>
          <w:szCs w:val="18"/>
        </w:rPr>
        <w:t>Konsultantas turi pateikti kiekvienos alternatyvos įgyvendinimo planą (roadmap), nurodant, bet neapsiribojant,  perėjimo nuo esamos situacijos prie siūlomos alternatyvos etapus ir pagrindinius veiksmus.</w:t>
      </w:r>
    </w:p>
    <w:p w14:paraId="52D6C5F1" w14:textId="77777777" w:rsidR="00EC3C54" w:rsidRDefault="00EC3C54">
      <w:pPr>
        <w:pStyle w:val="ListParagraph"/>
        <w:spacing w:before="240" w:after="240"/>
        <w:ind w:left="1080"/>
        <w:jc w:val="both"/>
        <w:outlineLvl w:val="1"/>
        <w:rPr>
          <w:rFonts w:ascii="Arial" w:hAnsi="Arial" w:cs="Arial"/>
          <w:sz w:val="18"/>
          <w:szCs w:val="18"/>
        </w:rPr>
      </w:pPr>
    </w:p>
    <w:p w14:paraId="52D6C5F2" w14:textId="158588C2" w:rsidR="00EC3C54" w:rsidRPr="00F73770" w:rsidRDefault="0031060A" w:rsidP="00F73770">
      <w:pPr>
        <w:spacing w:before="240" w:after="240"/>
        <w:jc w:val="both"/>
        <w:outlineLvl w:val="1"/>
        <w:rPr>
          <w:rFonts w:asciiTheme="majorHAnsi" w:eastAsiaTheme="majorEastAsia" w:hAnsiTheme="majorHAnsi" w:cstheme="majorBidi"/>
          <w:color w:val="2F5496"/>
          <w:sz w:val="32"/>
          <w:szCs w:val="32"/>
        </w:rPr>
      </w:pPr>
      <w:r>
        <w:rPr>
          <w:rFonts w:asciiTheme="majorHAnsi" w:eastAsiaTheme="majorEastAsia" w:hAnsiTheme="majorHAnsi" w:cstheme="majorBidi"/>
          <w:color w:val="2F5496"/>
          <w:sz w:val="32"/>
          <w:szCs w:val="32"/>
        </w:rPr>
        <w:t xml:space="preserve">5. </w:t>
      </w:r>
      <w:r w:rsidR="007311F2" w:rsidRPr="00F73770">
        <w:rPr>
          <w:rFonts w:asciiTheme="majorHAnsi" w:eastAsiaTheme="majorEastAsia" w:hAnsiTheme="majorHAnsi" w:cstheme="majorBidi"/>
          <w:color w:val="2F5496"/>
          <w:sz w:val="32"/>
          <w:szCs w:val="32"/>
        </w:rPr>
        <w:t>Techninės specifikacijos rengimas pirkimui</w:t>
      </w:r>
    </w:p>
    <w:p w14:paraId="52D6C5F3" w14:textId="4674F6D0" w:rsidR="00EC3C54" w:rsidRPr="00F73770" w:rsidRDefault="0031060A" w:rsidP="00F73770">
      <w:pPr>
        <w:ind w:left="360"/>
        <w:jc w:val="both"/>
        <w:outlineLvl w:val="1"/>
        <w:rPr>
          <w:rFonts w:ascii="Arial" w:hAnsi="Arial" w:cs="Arial"/>
          <w:sz w:val="18"/>
          <w:szCs w:val="18"/>
        </w:rPr>
      </w:pPr>
      <w:r>
        <w:rPr>
          <w:rFonts w:ascii="Arial" w:hAnsi="Arial" w:cs="Arial"/>
          <w:sz w:val="18"/>
          <w:szCs w:val="18"/>
        </w:rPr>
        <w:t xml:space="preserve">5.1. </w:t>
      </w:r>
      <w:r w:rsidR="007311F2" w:rsidRPr="00F73770">
        <w:rPr>
          <w:rFonts w:ascii="Arial" w:hAnsi="Arial" w:cs="Arial"/>
          <w:sz w:val="18"/>
          <w:szCs w:val="18"/>
        </w:rPr>
        <w:t xml:space="preserve">Jeigu Užsakovas pasirenka alternatyvą, kuriai reikalingas pirkimas, taikomas šis žingsnis, o pirkimas būtų vykdomas vadovaujantis Lietuvos Respublikos pirkimų, atliekamų vandentvarkos, energetikos, transporto ar pašto paslaugų srities perkančiųjų </w:t>
      </w:r>
      <w:r w:rsidR="007311F2" w:rsidRPr="00F73770">
        <w:rPr>
          <w:rFonts w:ascii="Arial" w:hAnsi="Arial" w:cs="Arial"/>
          <w:color w:val="000000"/>
          <w:sz w:val="18"/>
          <w:szCs w:val="18"/>
        </w:rPr>
        <w:t xml:space="preserve">subjektų, įstatymu. </w:t>
      </w:r>
      <w:r w:rsidR="007311F2" w:rsidRPr="00F73770">
        <w:rPr>
          <w:rFonts w:ascii="Arial" w:hAnsi="Arial" w:cs="Arial"/>
          <w:sz w:val="18"/>
          <w:szCs w:val="18"/>
        </w:rPr>
        <w:t>Jeigu pasirinkta alternatyva pagal pateiktas rekomendacijas nereikalauja pirkimo, šis punktas netaikomas.</w:t>
      </w:r>
    </w:p>
    <w:p w14:paraId="52D6C5F4" w14:textId="6EAB24B1" w:rsidR="00EC3C54" w:rsidRPr="00F73770" w:rsidRDefault="0031060A" w:rsidP="00F73770">
      <w:pPr>
        <w:jc w:val="both"/>
        <w:outlineLvl w:val="1"/>
        <w:rPr>
          <w:rFonts w:ascii="Arial" w:hAnsi="Arial" w:cs="Arial"/>
          <w:sz w:val="18"/>
          <w:szCs w:val="18"/>
        </w:rPr>
      </w:pPr>
      <w:r>
        <w:rPr>
          <w:rFonts w:ascii="Arial" w:hAnsi="Arial" w:cs="Arial"/>
          <w:sz w:val="18"/>
          <w:szCs w:val="18"/>
        </w:rPr>
        <w:t xml:space="preserve">5.2. </w:t>
      </w:r>
      <w:r w:rsidR="007311F2" w:rsidRPr="00F73770">
        <w:rPr>
          <w:rFonts w:ascii="Arial" w:hAnsi="Arial" w:cs="Arial"/>
          <w:sz w:val="18"/>
          <w:szCs w:val="18"/>
        </w:rPr>
        <w:t xml:space="preserve">Parengti ir suderinti su </w:t>
      </w:r>
      <w:r w:rsidRPr="00F73770">
        <w:rPr>
          <w:rFonts w:ascii="Arial" w:hAnsi="Arial" w:cs="Arial"/>
          <w:sz w:val="18"/>
          <w:szCs w:val="18"/>
        </w:rPr>
        <w:t xml:space="preserve">užsakovu </w:t>
      </w:r>
      <w:r w:rsidR="007311F2" w:rsidRPr="00F73770">
        <w:rPr>
          <w:rFonts w:ascii="Arial" w:hAnsi="Arial" w:cs="Arial"/>
          <w:sz w:val="18"/>
          <w:szCs w:val="18"/>
        </w:rPr>
        <w:t>funkcinius, nefunkcinius, integracijos ir projekto įgyvendinimo reikalavimus, įskaitant, bet neapsiribojant:</w:t>
      </w:r>
    </w:p>
    <w:p w14:paraId="52D6C5F5" w14:textId="77777777" w:rsidR="00EC3C54" w:rsidRDefault="007311F2">
      <w:pPr>
        <w:pStyle w:val="ListParagraph"/>
        <w:numPr>
          <w:ilvl w:val="0"/>
          <w:numId w:val="4"/>
        </w:numPr>
        <w:jc w:val="both"/>
        <w:outlineLvl w:val="1"/>
        <w:rPr>
          <w:rFonts w:ascii="Arial" w:hAnsi="Arial" w:cs="Arial"/>
          <w:sz w:val="18"/>
          <w:szCs w:val="18"/>
        </w:rPr>
      </w:pPr>
      <w:r>
        <w:rPr>
          <w:rFonts w:ascii="Arial" w:hAnsi="Arial" w:cs="Arial"/>
          <w:sz w:val="18"/>
          <w:szCs w:val="18"/>
        </w:rPr>
        <w:t>Reikalavimai sistemos našumui, prieinamumui, duomenų nuoseklumui, konfidencialumui ir auditui;</w:t>
      </w:r>
    </w:p>
    <w:p w14:paraId="52D6C5F6" w14:textId="77777777" w:rsidR="00EC3C54" w:rsidRDefault="007311F2">
      <w:pPr>
        <w:pStyle w:val="ListParagraph"/>
        <w:numPr>
          <w:ilvl w:val="0"/>
          <w:numId w:val="4"/>
        </w:numPr>
        <w:jc w:val="both"/>
        <w:outlineLvl w:val="1"/>
        <w:rPr>
          <w:rFonts w:ascii="Arial" w:hAnsi="Arial" w:cs="Arial"/>
          <w:sz w:val="18"/>
          <w:szCs w:val="18"/>
        </w:rPr>
      </w:pPr>
      <w:r>
        <w:rPr>
          <w:rFonts w:ascii="Arial" w:hAnsi="Arial" w:cs="Arial"/>
          <w:sz w:val="18"/>
          <w:szCs w:val="18"/>
        </w:rPr>
        <w:t>Reikalavimai kibernetiniam saugumui, atitinkantys OWASP ASVS 2 lygį;</w:t>
      </w:r>
    </w:p>
    <w:p w14:paraId="52D6C5F7" w14:textId="77777777" w:rsidR="00EC3C54" w:rsidRDefault="007311F2">
      <w:pPr>
        <w:pStyle w:val="ListParagraph"/>
        <w:numPr>
          <w:ilvl w:val="0"/>
          <w:numId w:val="4"/>
        </w:numPr>
        <w:jc w:val="both"/>
        <w:outlineLvl w:val="1"/>
        <w:rPr>
          <w:rFonts w:ascii="Arial" w:hAnsi="Arial" w:cs="Arial"/>
          <w:sz w:val="18"/>
          <w:szCs w:val="18"/>
        </w:rPr>
      </w:pPr>
      <w:r>
        <w:rPr>
          <w:rFonts w:ascii="Arial" w:hAnsi="Arial" w:cs="Arial"/>
          <w:sz w:val="18"/>
          <w:szCs w:val="18"/>
        </w:rPr>
        <w:t>Reikalavimai sistemos administravimui ir konfigūravimo galimybėms;</w:t>
      </w:r>
    </w:p>
    <w:p w14:paraId="52D6C5F8" w14:textId="77777777" w:rsidR="00EC3C54" w:rsidRDefault="007311F2">
      <w:pPr>
        <w:pStyle w:val="ListParagraph"/>
        <w:numPr>
          <w:ilvl w:val="0"/>
          <w:numId w:val="4"/>
        </w:numPr>
        <w:jc w:val="both"/>
        <w:outlineLvl w:val="1"/>
        <w:rPr>
          <w:rFonts w:ascii="Arial" w:hAnsi="Arial" w:cs="Arial"/>
          <w:sz w:val="18"/>
          <w:szCs w:val="18"/>
        </w:rPr>
      </w:pPr>
      <w:r>
        <w:rPr>
          <w:rFonts w:ascii="Arial" w:hAnsi="Arial" w:cs="Arial"/>
          <w:sz w:val="18"/>
          <w:szCs w:val="18"/>
        </w:rPr>
        <w:t>Reikalavimai pilnam procesų konfigūravimui - galimybė vartotojui sukurti duomenų mainų procesą, sukonfigūruojant įvesties ir išvesties duomenis, atitinkančius ENTSOE standartus ir xlsx formatą;</w:t>
      </w:r>
    </w:p>
    <w:p w14:paraId="52D6C5F9" w14:textId="77777777" w:rsidR="00EC3C54" w:rsidRDefault="007311F2">
      <w:pPr>
        <w:pStyle w:val="ListParagraph"/>
        <w:numPr>
          <w:ilvl w:val="0"/>
          <w:numId w:val="4"/>
        </w:numPr>
        <w:jc w:val="both"/>
        <w:outlineLvl w:val="1"/>
        <w:rPr>
          <w:rFonts w:ascii="Arial" w:hAnsi="Arial" w:cs="Arial"/>
          <w:sz w:val="18"/>
          <w:szCs w:val="18"/>
        </w:rPr>
      </w:pPr>
      <w:r>
        <w:rPr>
          <w:rFonts w:ascii="Arial" w:hAnsi="Arial" w:cs="Arial"/>
          <w:sz w:val="18"/>
          <w:szCs w:val="18"/>
        </w:rPr>
        <w:lastRenderedPageBreak/>
        <w:t>Reikalavimai autentifikavimui, autorizavimui ir vartotojų valdymui;</w:t>
      </w:r>
    </w:p>
    <w:p w14:paraId="52D6C5FA" w14:textId="77777777" w:rsidR="00EC3C54" w:rsidRDefault="007311F2">
      <w:pPr>
        <w:pStyle w:val="ListParagraph"/>
        <w:numPr>
          <w:ilvl w:val="0"/>
          <w:numId w:val="4"/>
        </w:numPr>
        <w:jc w:val="both"/>
        <w:outlineLvl w:val="1"/>
        <w:rPr>
          <w:rFonts w:ascii="Arial" w:hAnsi="Arial" w:cs="Arial"/>
          <w:sz w:val="18"/>
          <w:szCs w:val="18"/>
        </w:rPr>
      </w:pPr>
      <w:r>
        <w:rPr>
          <w:rFonts w:ascii="Arial" w:hAnsi="Arial" w:cs="Arial"/>
          <w:sz w:val="18"/>
          <w:szCs w:val="18"/>
        </w:rPr>
        <w:t>Reikalavimai vartotojo patirčiai ir vartotojo sąsajai;</w:t>
      </w:r>
    </w:p>
    <w:p w14:paraId="52D6C5FB" w14:textId="77777777" w:rsidR="00EC3C54" w:rsidRDefault="007311F2">
      <w:pPr>
        <w:pStyle w:val="ListParagraph"/>
        <w:numPr>
          <w:ilvl w:val="0"/>
          <w:numId w:val="4"/>
        </w:numPr>
        <w:jc w:val="both"/>
        <w:outlineLvl w:val="1"/>
        <w:rPr>
          <w:rFonts w:ascii="Arial" w:hAnsi="Arial" w:cs="Arial"/>
          <w:sz w:val="18"/>
          <w:szCs w:val="18"/>
        </w:rPr>
      </w:pPr>
      <w:r>
        <w:rPr>
          <w:rFonts w:ascii="Arial" w:hAnsi="Arial" w:cs="Arial"/>
          <w:sz w:val="18"/>
          <w:szCs w:val="18"/>
        </w:rPr>
        <w:t>Reikalavimai testavimui (įskaitant saugumo testus, našumo testus ir kt.) ir priėmimo kriterijai;</w:t>
      </w:r>
    </w:p>
    <w:p w14:paraId="52D6C5FC" w14:textId="77777777" w:rsidR="00EC3C54" w:rsidRDefault="007311F2">
      <w:pPr>
        <w:pStyle w:val="ListParagraph"/>
        <w:numPr>
          <w:ilvl w:val="0"/>
          <w:numId w:val="4"/>
        </w:numPr>
        <w:jc w:val="both"/>
        <w:outlineLvl w:val="1"/>
        <w:rPr>
          <w:rFonts w:ascii="Arial" w:hAnsi="Arial" w:cs="Arial"/>
          <w:sz w:val="18"/>
          <w:szCs w:val="18"/>
        </w:rPr>
      </w:pPr>
      <w:r>
        <w:rPr>
          <w:rFonts w:ascii="Arial" w:hAnsi="Arial" w:cs="Arial"/>
          <w:sz w:val="18"/>
          <w:szCs w:val="18"/>
        </w:rPr>
        <w:t>Reikalavimai mokymui ir dokumentacijai;</w:t>
      </w:r>
    </w:p>
    <w:p w14:paraId="52D6C5FD" w14:textId="77777777" w:rsidR="00EC3C54" w:rsidRDefault="007311F2">
      <w:pPr>
        <w:pStyle w:val="ListParagraph"/>
        <w:numPr>
          <w:ilvl w:val="0"/>
          <w:numId w:val="4"/>
        </w:numPr>
        <w:jc w:val="both"/>
        <w:outlineLvl w:val="1"/>
        <w:rPr>
          <w:rFonts w:ascii="Arial" w:hAnsi="Arial" w:cs="Arial"/>
          <w:sz w:val="18"/>
          <w:szCs w:val="18"/>
        </w:rPr>
      </w:pPr>
      <w:r>
        <w:rPr>
          <w:rFonts w:ascii="Arial" w:hAnsi="Arial" w:cs="Arial"/>
          <w:sz w:val="18"/>
          <w:szCs w:val="18"/>
        </w:rPr>
        <w:t>Reikalavimai duomenų atsarginėms kopijoms;</w:t>
      </w:r>
    </w:p>
    <w:p w14:paraId="52D6C5FE" w14:textId="77777777" w:rsidR="00EC3C54" w:rsidRDefault="007311F2">
      <w:pPr>
        <w:pStyle w:val="ListParagraph"/>
        <w:numPr>
          <w:ilvl w:val="0"/>
          <w:numId w:val="4"/>
        </w:numPr>
        <w:jc w:val="both"/>
        <w:outlineLvl w:val="1"/>
        <w:rPr>
          <w:rFonts w:ascii="Arial" w:hAnsi="Arial" w:cs="Arial"/>
          <w:sz w:val="18"/>
          <w:szCs w:val="18"/>
        </w:rPr>
      </w:pPr>
      <w:r>
        <w:rPr>
          <w:rFonts w:ascii="Arial" w:hAnsi="Arial" w:cs="Arial"/>
          <w:sz w:val="18"/>
          <w:szCs w:val="18"/>
        </w:rPr>
        <w:t>Reikalavimai priežiūrai ir sistemos plėtrai;</w:t>
      </w:r>
    </w:p>
    <w:p w14:paraId="52D6C5FF" w14:textId="77777777" w:rsidR="00EC3C54" w:rsidRDefault="007311F2">
      <w:pPr>
        <w:pStyle w:val="ListParagraph"/>
        <w:numPr>
          <w:ilvl w:val="0"/>
          <w:numId w:val="4"/>
        </w:numPr>
        <w:jc w:val="both"/>
        <w:outlineLvl w:val="1"/>
        <w:rPr>
          <w:rFonts w:ascii="Arial" w:hAnsi="Arial" w:cs="Arial"/>
          <w:sz w:val="18"/>
          <w:szCs w:val="18"/>
        </w:rPr>
      </w:pPr>
      <w:r>
        <w:rPr>
          <w:rFonts w:ascii="Arial" w:hAnsi="Arial" w:cs="Arial"/>
          <w:sz w:val="18"/>
          <w:szCs w:val="18"/>
        </w:rPr>
        <w:t>Reikalavimai duomenų migravimui ir atnaujinimams;</w:t>
      </w:r>
    </w:p>
    <w:p w14:paraId="52D6C600" w14:textId="77777777" w:rsidR="00EC3C54" w:rsidRDefault="007311F2">
      <w:pPr>
        <w:pStyle w:val="ListParagraph"/>
        <w:numPr>
          <w:ilvl w:val="0"/>
          <w:numId w:val="4"/>
        </w:numPr>
        <w:jc w:val="both"/>
        <w:outlineLvl w:val="1"/>
        <w:rPr>
          <w:rFonts w:ascii="Arial" w:hAnsi="Arial" w:cs="Arial"/>
          <w:sz w:val="18"/>
          <w:szCs w:val="18"/>
        </w:rPr>
      </w:pPr>
      <w:r>
        <w:rPr>
          <w:rFonts w:ascii="Arial" w:hAnsi="Arial" w:cs="Arial"/>
          <w:sz w:val="18"/>
          <w:szCs w:val="18"/>
        </w:rPr>
        <w:t>Reikalavimai garantiniam aptarnavimui;</w:t>
      </w:r>
    </w:p>
    <w:p w14:paraId="52D6C601" w14:textId="77777777" w:rsidR="00EC3C54" w:rsidRDefault="007311F2">
      <w:pPr>
        <w:pStyle w:val="ListParagraph"/>
        <w:numPr>
          <w:ilvl w:val="0"/>
          <w:numId w:val="4"/>
        </w:numPr>
        <w:jc w:val="both"/>
        <w:outlineLvl w:val="1"/>
        <w:rPr>
          <w:rFonts w:ascii="Arial" w:hAnsi="Arial" w:cs="Arial"/>
          <w:sz w:val="18"/>
          <w:szCs w:val="18"/>
        </w:rPr>
      </w:pPr>
      <w:r>
        <w:rPr>
          <w:rFonts w:ascii="Arial" w:hAnsi="Arial" w:cs="Arial"/>
          <w:sz w:val="18"/>
          <w:szCs w:val="18"/>
        </w:rPr>
        <w:t>Reikalavimai sistemos diegimui (metodika, diegimo planas);</w:t>
      </w:r>
    </w:p>
    <w:p w14:paraId="52D6C602" w14:textId="77777777" w:rsidR="00EC3C54" w:rsidRDefault="007311F2">
      <w:pPr>
        <w:pStyle w:val="ListParagraph"/>
        <w:numPr>
          <w:ilvl w:val="0"/>
          <w:numId w:val="4"/>
        </w:numPr>
        <w:jc w:val="both"/>
        <w:outlineLvl w:val="1"/>
        <w:rPr>
          <w:rFonts w:ascii="Arial" w:hAnsi="Arial" w:cs="Arial"/>
          <w:sz w:val="18"/>
          <w:szCs w:val="18"/>
        </w:rPr>
      </w:pPr>
      <w:r>
        <w:rPr>
          <w:rFonts w:ascii="Arial" w:hAnsi="Arial" w:cs="Arial"/>
          <w:sz w:val="18"/>
          <w:szCs w:val="18"/>
        </w:rPr>
        <w:t>Reikalavimai kvalifikacijai (tiekėjo ir pagrindinių specialistų);</w:t>
      </w:r>
    </w:p>
    <w:p w14:paraId="52D6C603" w14:textId="77777777" w:rsidR="00EC3C54" w:rsidRDefault="007311F2">
      <w:pPr>
        <w:pStyle w:val="ListParagraph"/>
        <w:numPr>
          <w:ilvl w:val="0"/>
          <w:numId w:val="4"/>
        </w:numPr>
        <w:jc w:val="both"/>
        <w:outlineLvl w:val="1"/>
        <w:rPr>
          <w:rFonts w:ascii="Arial" w:hAnsi="Arial" w:cs="Arial"/>
          <w:sz w:val="18"/>
          <w:szCs w:val="18"/>
        </w:rPr>
      </w:pPr>
      <w:r>
        <w:rPr>
          <w:rFonts w:ascii="Arial" w:hAnsi="Arial" w:cs="Arial"/>
          <w:sz w:val="18"/>
          <w:szCs w:val="18"/>
        </w:rPr>
        <w:t>Reikalavimai ekonominio vertinimo kriterijams – pateikti siūlymus dėl ekonominio naudingumo vertinimo kriterijų galimam naujos informacinės sistemos pirkimui.</w:t>
      </w:r>
    </w:p>
    <w:p w14:paraId="52D6C604" w14:textId="77777777" w:rsidR="00EC3C54" w:rsidRDefault="007311F2">
      <w:pPr>
        <w:pStyle w:val="ListParagraph"/>
        <w:numPr>
          <w:ilvl w:val="0"/>
          <w:numId w:val="16"/>
        </w:numPr>
        <w:spacing w:line="300" w:lineRule="atLeast"/>
        <w:rPr>
          <w:rFonts w:asciiTheme="majorHAnsi" w:eastAsiaTheme="majorEastAsia" w:hAnsiTheme="majorHAnsi" w:cstheme="majorBidi"/>
          <w:color w:val="2F5496"/>
          <w:sz w:val="32"/>
          <w:szCs w:val="32"/>
        </w:rPr>
      </w:pPr>
      <w:r>
        <w:rPr>
          <w:rFonts w:asciiTheme="majorHAnsi" w:eastAsiaTheme="majorEastAsia" w:hAnsiTheme="majorHAnsi" w:cstheme="majorBidi"/>
          <w:color w:val="2F5496"/>
          <w:sz w:val="32"/>
          <w:szCs w:val="32"/>
        </w:rPr>
        <w:t>Papildomos konsultacinės valandos</w:t>
      </w:r>
    </w:p>
    <w:p w14:paraId="52D6C605" w14:textId="77777777" w:rsidR="00EC3C54" w:rsidRDefault="007311F2">
      <w:pPr>
        <w:pStyle w:val="ListParagraph"/>
        <w:numPr>
          <w:ilvl w:val="1"/>
          <w:numId w:val="16"/>
        </w:numPr>
        <w:jc w:val="both"/>
        <w:outlineLvl w:val="1"/>
        <w:rPr>
          <w:rFonts w:ascii="Arial" w:hAnsi="Arial" w:cs="Arial"/>
          <w:sz w:val="18"/>
          <w:szCs w:val="18"/>
        </w:rPr>
      </w:pPr>
      <w:r>
        <w:rPr>
          <w:rFonts w:ascii="Arial" w:hAnsi="Arial" w:cs="Arial"/>
          <w:sz w:val="18"/>
          <w:szCs w:val="18"/>
        </w:rPr>
        <w:t>Rangovas privalo suteikti iki 100 (šimto) papildomų konsultacinių valandų.</w:t>
      </w:r>
    </w:p>
    <w:p w14:paraId="52D6C606" w14:textId="77777777" w:rsidR="00EC3C54" w:rsidRDefault="007311F2">
      <w:pPr>
        <w:pStyle w:val="ListParagraph"/>
        <w:numPr>
          <w:ilvl w:val="1"/>
          <w:numId w:val="16"/>
        </w:numPr>
        <w:jc w:val="both"/>
        <w:outlineLvl w:val="1"/>
        <w:rPr>
          <w:rFonts w:ascii="Arial" w:hAnsi="Arial" w:cs="Arial"/>
          <w:sz w:val="18"/>
          <w:szCs w:val="18"/>
        </w:rPr>
      </w:pPr>
      <w:r>
        <w:rPr>
          <w:rFonts w:ascii="Arial" w:hAnsi="Arial" w:cs="Arial"/>
          <w:sz w:val="18"/>
          <w:szCs w:val="18"/>
        </w:rPr>
        <w:t>Papildomos konsultacinės valandos naudojamos tik esant faktiniam Užsakovo poreikiui, o Užsakovas neįsipareigoja išnaudoti ar apmokėti viso papildomų konsultacinių valandų skaičiaus. Atsiskaitymas vykdomas tik už faktiškai Užsakovo užsakytas ir Rangovo suteiktas konsultacines valandas.</w:t>
      </w:r>
    </w:p>
    <w:p w14:paraId="52D6C607" w14:textId="77777777" w:rsidR="00EC3C54" w:rsidRDefault="007311F2">
      <w:pPr>
        <w:pStyle w:val="ListParagraph"/>
        <w:numPr>
          <w:ilvl w:val="1"/>
          <w:numId w:val="16"/>
        </w:numPr>
        <w:jc w:val="both"/>
        <w:outlineLvl w:val="1"/>
        <w:rPr>
          <w:rFonts w:ascii="Arial" w:hAnsi="Arial" w:cs="Arial"/>
          <w:sz w:val="18"/>
          <w:szCs w:val="18"/>
        </w:rPr>
      </w:pPr>
      <w:r>
        <w:rPr>
          <w:rFonts w:ascii="Arial" w:hAnsi="Arial" w:cs="Arial"/>
          <w:sz w:val="18"/>
          <w:szCs w:val="18"/>
        </w:rPr>
        <w:t xml:space="preserve">Papildomos konsultacinės valandos gali būti naudojamos šių paslaugų teikimui, bet neapsiribojant: </w:t>
      </w:r>
    </w:p>
    <w:p w14:paraId="52D6C608" w14:textId="77777777" w:rsidR="00EC3C54" w:rsidRDefault="007311F2">
      <w:pPr>
        <w:pStyle w:val="ListParagraph"/>
        <w:numPr>
          <w:ilvl w:val="2"/>
          <w:numId w:val="16"/>
        </w:numPr>
        <w:jc w:val="both"/>
        <w:outlineLvl w:val="1"/>
        <w:rPr>
          <w:rFonts w:ascii="Arial" w:hAnsi="Arial" w:cs="Arial"/>
          <w:sz w:val="18"/>
          <w:szCs w:val="18"/>
        </w:rPr>
      </w:pPr>
      <w:r>
        <w:rPr>
          <w:rFonts w:ascii="Arial" w:hAnsi="Arial" w:cs="Arial"/>
          <w:sz w:val="18"/>
          <w:szCs w:val="18"/>
        </w:rPr>
        <w:t xml:space="preserve">Po studijos pilno atlikimo – rekomendacijų išaiškinimui jas pradėjus taikyti praktikoje; </w:t>
      </w:r>
    </w:p>
    <w:p w14:paraId="52D6C609" w14:textId="77777777" w:rsidR="00EC3C54" w:rsidRDefault="007311F2">
      <w:pPr>
        <w:pStyle w:val="ListParagraph"/>
        <w:numPr>
          <w:ilvl w:val="2"/>
          <w:numId w:val="16"/>
        </w:numPr>
        <w:jc w:val="both"/>
        <w:outlineLvl w:val="1"/>
        <w:rPr>
          <w:rFonts w:ascii="Arial" w:hAnsi="Arial" w:cs="Arial"/>
          <w:sz w:val="18"/>
          <w:szCs w:val="18"/>
        </w:rPr>
      </w:pPr>
      <w:r>
        <w:rPr>
          <w:rFonts w:ascii="Arial" w:hAnsi="Arial" w:cs="Arial"/>
          <w:sz w:val="18"/>
          <w:szCs w:val="18"/>
        </w:rPr>
        <w:t>Jei pasirenkama alternatyva, kurios pagrindu bus inicijuojamas pirkimas, atlikus techninės specifikacijos rengimą pirkimui – konsultacijos rengiant, tikslinant ar įgyvendinant viešųjų pirkimų dokumentus; konsultacijos kandidatų pasiūlymų vertinimo metu, analizuojant kandidatų atitiktį kvalifikaciniams, verslo ir techniniams reikalavimams.</w:t>
      </w:r>
    </w:p>
    <w:p w14:paraId="52D6C60A" w14:textId="77777777" w:rsidR="00EC3C54" w:rsidRDefault="007311F2">
      <w:pPr>
        <w:pStyle w:val="ListParagraph"/>
        <w:numPr>
          <w:ilvl w:val="1"/>
          <w:numId w:val="16"/>
        </w:numPr>
        <w:jc w:val="both"/>
        <w:outlineLvl w:val="1"/>
        <w:rPr>
          <w:rFonts w:ascii="Arial" w:hAnsi="Arial" w:cs="Arial"/>
          <w:sz w:val="18"/>
          <w:szCs w:val="18"/>
        </w:rPr>
      </w:pPr>
      <w:r>
        <w:rPr>
          <w:rFonts w:ascii="Arial" w:hAnsi="Arial" w:cs="Arial"/>
          <w:sz w:val="18"/>
          <w:szCs w:val="18"/>
        </w:rPr>
        <w:t>Papildomų konsultacinių valandų panaudojimo apimtis, turinys ir teikimo tvarka kiekvienu atveju derinami atskirai su Užsakovu.</w:t>
      </w:r>
    </w:p>
    <w:p w14:paraId="52D6C60B" w14:textId="77777777" w:rsidR="00EC3C54" w:rsidRDefault="007311F2">
      <w:pPr>
        <w:pStyle w:val="Heading1"/>
        <w:numPr>
          <w:ilvl w:val="0"/>
          <w:numId w:val="16"/>
        </w:numPr>
      </w:pPr>
      <w:r>
        <w:t>Reikalavimai rezultatui</w:t>
      </w:r>
    </w:p>
    <w:p w14:paraId="52D6C60C" w14:textId="77777777" w:rsidR="00EC3C54" w:rsidRDefault="007311F2">
      <w:pPr>
        <w:pStyle w:val="ListParagraph"/>
        <w:numPr>
          <w:ilvl w:val="1"/>
          <w:numId w:val="16"/>
        </w:numPr>
        <w:jc w:val="both"/>
        <w:outlineLvl w:val="1"/>
        <w:rPr>
          <w:rFonts w:ascii="Arial" w:hAnsi="Arial" w:cs="Arial"/>
          <w:sz w:val="18"/>
          <w:szCs w:val="18"/>
        </w:rPr>
      </w:pPr>
      <w:r>
        <w:rPr>
          <w:rFonts w:ascii="Arial" w:hAnsi="Arial" w:cs="Arial"/>
          <w:sz w:val="18"/>
          <w:szCs w:val="18"/>
        </w:rPr>
        <w:t>Rangovas privalo parengti vieną nuosekliai pildomą analizės dokumentą, kuris Užsakovui teikiamas keturiais etapais. Kiekvieno etapo metu dokumentas turi būti papildytas atitinkama Techninėje specifikacijoje numatyta analitinės medžiagos dalimi, apimančia:</w:t>
      </w:r>
    </w:p>
    <w:p w14:paraId="52D6C60D" w14:textId="36AB8A78" w:rsidR="00EC3C54" w:rsidRDefault="007311F2">
      <w:pPr>
        <w:pStyle w:val="ListParagraph"/>
        <w:ind w:left="1440"/>
        <w:jc w:val="both"/>
        <w:outlineLvl w:val="1"/>
        <w:rPr>
          <w:rFonts w:ascii="Arial" w:hAnsi="Arial" w:cs="Arial"/>
          <w:sz w:val="18"/>
          <w:szCs w:val="18"/>
        </w:rPr>
      </w:pPr>
      <w:r>
        <w:rPr>
          <w:rFonts w:ascii="Arial" w:hAnsi="Arial" w:cs="Arial"/>
          <w:sz w:val="18"/>
          <w:szCs w:val="18"/>
        </w:rPr>
        <w:t>1</w:t>
      </w:r>
      <w:r>
        <w:rPr>
          <w:rFonts w:ascii="Cambria Math" w:hAnsi="Cambria Math" w:cs="Cambria Math"/>
          <w:sz w:val="18"/>
          <w:szCs w:val="18"/>
        </w:rPr>
        <w:t>‑</w:t>
      </w:r>
      <w:r>
        <w:rPr>
          <w:rFonts w:ascii="Arial" w:hAnsi="Arial" w:cs="Arial"/>
          <w:sz w:val="18"/>
          <w:szCs w:val="18"/>
        </w:rPr>
        <w:t>ojo etapo teikimas – operatyvinio planavimo procesų ir IT sprendimų analizė (</w:t>
      </w:r>
      <w:r w:rsidR="0031060A">
        <w:rPr>
          <w:rFonts w:ascii="Arial" w:hAnsi="Arial" w:cs="Arial"/>
          <w:sz w:val="18"/>
          <w:szCs w:val="18"/>
        </w:rPr>
        <w:t>4</w:t>
      </w:r>
      <w:r>
        <w:rPr>
          <w:rFonts w:ascii="Arial" w:hAnsi="Arial" w:cs="Arial"/>
          <w:sz w:val="18"/>
          <w:szCs w:val="18"/>
        </w:rPr>
        <w:t>.2. punkte aprašyti darbai);</w:t>
      </w:r>
    </w:p>
    <w:p w14:paraId="52D6C60E" w14:textId="6DEBF449" w:rsidR="00EC3C54" w:rsidRDefault="007311F2">
      <w:pPr>
        <w:pStyle w:val="ListParagraph"/>
        <w:ind w:left="1440"/>
        <w:jc w:val="both"/>
        <w:outlineLvl w:val="1"/>
        <w:rPr>
          <w:rFonts w:ascii="Arial" w:hAnsi="Arial" w:cs="Arial"/>
          <w:sz w:val="18"/>
          <w:szCs w:val="18"/>
        </w:rPr>
      </w:pPr>
      <w:r>
        <w:rPr>
          <w:rFonts w:ascii="Arial" w:hAnsi="Arial" w:cs="Arial"/>
          <w:sz w:val="18"/>
          <w:szCs w:val="18"/>
        </w:rPr>
        <w:t>2</w:t>
      </w:r>
      <w:r>
        <w:rPr>
          <w:rFonts w:ascii="Cambria Math" w:hAnsi="Cambria Math" w:cs="Cambria Math"/>
          <w:sz w:val="18"/>
          <w:szCs w:val="18"/>
        </w:rPr>
        <w:t>‑</w:t>
      </w:r>
      <w:r>
        <w:rPr>
          <w:rFonts w:ascii="Arial" w:hAnsi="Arial" w:cs="Arial"/>
          <w:sz w:val="18"/>
          <w:szCs w:val="18"/>
        </w:rPr>
        <w:t>ojo etapo teikimas – dokumento papildymas IT sprendimų vertinimu (</w:t>
      </w:r>
      <w:r w:rsidR="0031060A">
        <w:rPr>
          <w:rFonts w:ascii="Arial" w:hAnsi="Arial" w:cs="Arial"/>
          <w:sz w:val="18"/>
          <w:szCs w:val="18"/>
        </w:rPr>
        <w:t>4</w:t>
      </w:r>
      <w:r>
        <w:rPr>
          <w:rFonts w:ascii="Arial" w:hAnsi="Arial" w:cs="Arial"/>
          <w:sz w:val="18"/>
          <w:szCs w:val="18"/>
        </w:rPr>
        <w:t>.3. punkte aprašyti darbai);</w:t>
      </w:r>
    </w:p>
    <w:p w14:paraId="52D6C60F" w14:textId="1007746E" w:rsidR="00EC3C54" w:rsidRDefault="007311F2">
      <w:pPr>
        <w:pStyle w:val="ListParagraph"/>
        <w:ind w:left="1440"/>
        <w:jc w:val="both"/>
        <w:outlineLvl w:val="1"/>
        <w:rPr>
          <w:rFonts w:ascii="Arial" w:hAnsi="Arial" w:cs="Arial"/>
          <w:sz w:val="18"/>
          <w:szCs w:val="18"/>
        </w:rPr>
      </w:pPr>
      <w:r>
        <w:rPr>
          <w:rFonts w:ascii="Arial" w:hAnsi="Arial" w:cs="Arial"/>
          <w:sz w:val="18"/>
          <w:szCs w:val="18"/>
        </w:rPr>
        <w:t>3</w:t>
      </w:r>
      <w:r>
        <w:rPr>
          <w:rFonts w:ascii="Cambria Math" w:hAnsi="Cambria Math" w:cs="Cambria Math"/>
          <w:sz w:val="18"/>
          <w:szCs w:val="18"/>
        </w:rPr>
        <w:t>‑</w:t>
      </w:r>
      <w:r>
        <w:rPr>
          <w:rFonts w:ascii="Arial" w:hAnsi="Arial" w:cs="Arial"/>
          <w:sz w:val="18"/>
          <w:szCs w:val="18"/>
        </w:rPr>
        <w:t>ojo etapo teikimas – dokumento papildymas rinkos analize (</w:t>
      </w:r>
      <w:r w:rsidR="0031060A">
        <w:rPr>
          <w:rFonts w:ascii="Arial" w:hAnsi="Arial" w:cs="Arial"/>
          <w:sz w:val="18"/>
          <w:szCs w:val="18"/>
        </w:rPr>
        <w:t>4</w:t>
      </w:r>
      <w:r>
        <w:rPr>
          <w:rFonts w:ascii="Arial" w:hAnsi="Arial" w:cs="Arial"/>
          <w:sz w:val="18"/>
          <w:szCs w:val="18"/>
        </w:rPr>
        <w:t>.4. punkte aprašyti darbai);</w:t>
      </w:r>
    </w:p>
    <w:p w14:paraId="52D6C610" w14:textId="090A669F" w:rsidR="00EC3C54" w:rsidRDefault="007311F2">
      <w:pPr>
        <w:pStyle w:val="ListParagraph"/>
        <w:ind w:left="1440"/>
        <w:jc w:val="both"/>
        <w:outlineLvl w:val="1"/>
        <w:rPr>
          <w:rFonts w:ascii="Arial" w:hAnsi="Arial" w:cs="Arial"/>
          <w:sz w:val="18"/>
          <w:szCs w:val="18"/>
        </w:rPr>
      </w:pPr>
      <w:r>
        <w:rPr>
          <w:rFonts w:ascii="Arial" w:hAnsi="Arial" w:cs="Arial"/>
          <w:sz w:val="18"/>
          <w:szCs w:val="18"/>
        </w:rPr>
        <w:t>4</w:t>
      </w:r>
      <w:r>
        <w:rPr>
          <w:rFonts w:ascii="Cambria Math" w:hAnsi="Cambria Math" w:cs="Cambria Math"/>
          <w:sz w:val="18"/>
          <w:szCs w:val="18"/>
        </w:rPr>
        <w:t>‑</w:t>
      </w:r>
      <w:r>
        <w:rPr>
          <w:rFonts w:ascii="Arial" w:hAnsi="Arial" w:cs="Arial"/>
          <w:sz w:val="18"/>
          <w:szCs w:val="18"/>
        </w:rPr>
        <w:t>ojo etapo teikimas – dokumento papildymas rekomendacijomis (</w:t>
      </w:r>
      <w:r w:rsidR="0031060A">
        <w:rPr>
          <w:rFonts w:ascii="Arial" w:hAnsi="Arial" w:cs="Arial"/>
          <w:sz w:val="18"/>
          <w:szCs w:val="18"/>
        </w:rPr>
        <w:t>4</w:t>
      </w:r>
      <w:r>
        <w:rPr>
          <w:rFonts w:ascii="Arial" w:hAnsi="Arial" w:cs="Arial"/>
          <w:sz w:val="18"/>
          <w:szCs w:val="18"/>
        </w:rPr>
        <w:t>.5. punkte aprašyti darbai).</w:t>
      </w:r>
    </w:p>
    <w:p w14:paraId="52D6C611" w14:textId="77777777" w:rsidR="00EC3C54" w:rsidRDefault="007311F2">
      <w:pPr>
        <w:ind w:firstLine="709"/>
        <w:jc w:val="both"/>
        <w:outlineLvl w:val="1"/>
        <w:rPr>
          <w:rFonts w:ascii="Arial" w:hAnsi="Arial" w:cs="Arial"/>
          <w:sz w:val="18"/>
          <w:szCs w:val="18"/>
        </w:rPr>
      </w:pPr>
      <w:r>
        <w:rPr>
          <w:rFonts w:ascii="Arial" w:hAnsi="Arial" w:cs="Arial"/>
          <w:sz w:val="18"/>
          <w:szCs w:val="18"/>
        </w:rPr>
        <w:t>Galutinė 4</w:t>
      </w:r>
      <w:r>
        <w:rPr>
          <w:rFonts w:ascii="Cambria Math" w:hAnsi="Cambria Math" w:cs="Cambria Math"/>
          <w:sz w:val="18"/>
          <w:szCs w:val="18"/>
        </w:rPr>
        <w:t>‑</w:t>
      </w:r>
      <w:r>
        <w:rPr>
          <w:rFonts w:ascii="Arial" w:hAnsi="Arial" w:cs="Arial"/>
          <w:sz w:val="18"/>
          <w:szCs w:val="18"/>
        </w:rPr>
        <w:t>ojo etapo versija turi apimti visas minėtas dalis ir būti laikoma pilna galutine visos studijos rezultato dokumento versija.</w:t>
      </w:r>
    </w:p>
    <w:p w14:paraId="52D6C612" w14:textId="77777777" w:rsidR="00EC3C54" w:rsidRDefault="007311F2">
      <w:pPr>
        <w:pStyle w:val="ListParagraph"/>
        <w:numPr>
          <w:ilvl w:val="1"/>
          <w:numId w:val="16"/>
        </w:numPr>
        <w:jc w:val="both"/>
        <w:outlineLvl w:val="1"/>
        <w:rPr>
          <w:rFonts w:ascii="Arial" w:hAnsi="Arial" w:cs="Arial"/>
          <w:sz w:val="18"/>
          <w:szCs w:val="18"/>
        </w:rPr>
      </w:pPr>
      <w:r>
        <w:rPr>
          <w:rFonts w:ascii="Arial" w:hAnsi="Arial" w:cs="Arial"/>
          <w:sz w:val="18"/>
          <w:szCs w:val="18"/>
        </w:rPr>
        <w:t>Papildomai gali būti rengiamas antras dokumentas – techninė specifikacija pirkimui, kurios reikalavimai nurodyti 6 skyriuje. Šis dokumentas rengiamas tik tuo atveju, jei rekomendacijose pasirenkamas sprendimo variantas, numatantis pirkimo vykdymą. Jei sprendimas nereikalauja pirkimo, techninė specifikacija nerengiama.</w:t>
      </w:r>
    </w:p>
    <w:p w14:paraId="52D6C613" w14:textId="77777777" w:rsidR="00EC3C54" w:rsidRDefault="007311F2">
      <w:pPr>
        <w:pStyle w:val="ListParagraph"/>
        <w:numPr>
          <w:ilvl w:val="1"/>
          <w:numId w:val="16"/>
        </w:numPr>
        <w:jc w:val="both"/>
        <w:outlineLvl w:val="1"/>
        <w:rPr>
          <w:rFonts w:ascii="Arial" w:hAnsi="Arial" w:cs="Arial"/>
          <w:sz w:val="18"/>
          <w:szCs w:val="18"/>
        </w:rPr>
      </w:pPr>
      <w:r>
        <w:rPr>
          <w:rFonts w:ascii="Arial" w:hAnsi="Arial" w:cs="Arial"/>
          <w:sz w:val="18"/>
          <w:szCs w:val="18"/>
        </w:rPr>
        <w:t>Visų dokumentų galutinė versija turi būti pateikiama elektroniniu formatu PDF arba lygiaverčiu ir papildomai redaguojamu formatu – DOCX arba lygiaverčiu. Jei pateikiamame rezultate naudojami skaičiavimai ar duomenų analizė, atitinkami duomenys turi būti pateikiami skaičiavimams ar duomenų analizei patogiame elektroniniame formate  (XLSX arba lygiaverčiu formatu). PDF versija turi būti identiška redaguojamai versijai.</w:t>
      </w:r>
      <w:r>
        <w:t xml:space="preserve"> </w:t>
      </w:r>
      <w:r>
        <w:rPr>
          <w:rFonts w:ascii="Arial" w:hAnsi="Arial" w:cs="Arial"/>
          <w:sz w:val="18"/>
          <w:szCs w:val="18"/>
        </w:rPr>
        <w:t>Visi dokumentai turi būti pateikiami lietuvių ir (arba) anglų kalba.</w:t>
      </w:r>
    </w:p>
    <w:p w14:paraId="52D6C614" w14:textId="7253C805" w:rsidR="00EC3C54" w:rsidRDefault="007311F2">
      <w:pPr>
        <w:pStyle w:val="ListParagraph"/>
        <w:numPr>
          <w:ilvl w:val="1"/>
          <w:numId w:val="16"/>
        </w:numPr>
        <w:spacing w:before="240" w:after="240"/>
        <w:jc w:val="both"/>
        <w:outlineLvl w:val="1"/>
        <w:rPr>
          <w:rFonts w:ascii="Arial" w:hAnsi="Arial" w:cs="Arial"/>
          <w:sz w:val="18"/>
          <w:szCs w:val="18"/>
        </w:rPr>
      </w:pPr>
      <w:r>
        <w:rPr>
          <w:rFonts w:ascii="Arial" w:hAnsi="Arial" w:cs="Arial"/>
          <w:sz w:val="18"/>
          <w:szCs w:val="18"/>
        </w:rPr>
        <w:t xml:space="preserve">Studija (punktas </w:t>
      </w:r>
      <w:r w:rsidR="00022D4F">
        <w:rPr>
          <w:rFonts w:ascii="Arial" w:hAnsi="Arial" w:cs="Arial"/>
          <w:sz w:val="18"/>
          <w:szCs w:val="18"/>
        </w:rPr>
        <w:t>2</w:t>
      </w:r>
      <w:r>
        <w:rPr>
          <w:rFonts w:ascii="Arial" w:hAnsi="Arial" w:cs="Arial"/>
          <w:sz w:val="18"/>
          <w:szCs w:val="18"/>
        </w:rPr>
        <w:t>) turi būti visiškai parengta ir suderinta su Užsakovu ne vėliau kaip per 6 (šešis) mėnesius nuo Sutarties pasirašymo dienos.</w:t>
      </w:r>
    </w:p>
    <w:p w14:paraId="52D6C615" w14:textId="69598C60" w:rsidR="00EC3C54" w:rsidRDefault="007311F2">
      <w:pPr>
        <w:pStyle w:val="ListParagraph"/>
        <w:numPr>
          <w:ilvl w:val="1"/>
          <w:numId w:val="16"/>
        </w:numPr>
        <w:spacing w:before="240" w:after="240"/>
        <w:jc w:val="both"/>
        <w:outlineLvl w:val="1"/>
        <w:rPr>
          <w:rFonts w:ascii="Arial" w:hAnsi="Arial" w:cs="Arial"/>
          <w:sz w:val="18"/>
          <w:szCs w:val="18"/>
        </w:rPr>
      </w:pPr>
      <w:r>
        <w:rPr>
          <w:rFonts w:ascii="Arial" w:hAnsi="Arial" w:cs="Arial"/>
          <w:sz w:val="18"/>
          <w:szCs w:val="18"/>
        </w:rPr>
        <w:t xml:space="preserve">Techninė specifikacija (punktas </w:t>
      </w:r>
      <w:r w:rsidR="00022D4F">
        <w:rPr>
          <w:rFonts w:ascii="Arial" w:hAnsi="Arial" w:cs="Arial"/>
          <w:sz w:val="18"/>
          <w:szCs w:val="18"/>
        </w:rPr>
        <w:t>1.3</w:t>
      </w:r>
      <w:r>
        <w:rPr>
          <w:rFonts w:ascii="Arial" w:hAnsi="Arial" w:cs="Arial"/>
          <w:sz w:val="18"/>
          <w:szCs w:val="18"/>
        </w:rPr>
        <w:t xml:space="preserve">) turi būti pilnai parengta ir suderinta su Užsakovu per 4 mėnesius (darbų pradžia būtų derinama atlikus Studiją ir pasirinkus vieną iš pasiūlytų alternatyvų).   </w:t>
      </w:r>
    </w:p>
    <w:p w14:paraId="52D6C616" w14:textId="77777777" w:rsidR="00EC3C54" w:rsidRDefault="007311F2">
      <w:pPr>
        <w:pStyle w:val="ListParagraph"/>
        <w:numPr>
          <w:ilvl w:val="1"/>
          <w:numId w:val="16"/>
        </w:numPr>
        <w:jc w:val="both"/>
        <w:outlineLvl w:val="1"/>
        <w:rPr>
          <w:rFonts w:ascii="Arial" w:hAnsi="Arial"/>
          <w:sz w:val="18"/>
        </w:rPr>
      </w:pPr>
      <w:r>
        <w:rPr>
          <w:rFonts w:ascii="Arial" w:hAnsi="Arial" w:cs="Arial"/>
          <w:sz w:val="18"/>
          <w:szCs w:val="18"/>
        </w:rPr>
        <w:t xml:space="preserve">Užsakovas įsipareigoja rangovo pateiktus dokumentus  peržiūrėti, suderinti arba pateikti pastabas ne vėliau kaip per 7 (septynias) darbo dienas nuo jų gavimo dienos. Dokumentai traktuojami „gautais“ viena diena po dokumento išsiuntimo el. paštu. </w:t>
      </w:r>
    </w:p>
    <w:p w14:paraId="52D6C617" w14:textId="77777777" w:rsidR="00EC3C54" w:rsidRDefault="007311F2">
      <w:pPr>
        <w:pStyle w:val="ListParagraph"/>
        <w:numPr>
          <w:ilvl w:val="1"/>
          <w:numId w:val="16"/>
        </w:numPr>
        <w:spacing w:before="240" w:after="240"/>
        <w:jc w:val="both"/>
        <w:outlineLvl w:val="1"/>
        <w:rPr>
          <w:rFonts w:ascii="Arial" w:hAnsi="Arial" w:cs="Arial"/>
          <w:sz w:val="18"/>
          <w:szCs w:val="18"/>
        </w:rPr>
      </w:pPr>
      <w:r>
        <w:rPr>
          <w:rFonts w:ascii="Arial" w:hAnsi="Arial" w:cs="Arial"/>
          <w:sz w:val="18"/>
          <w:szCs w:val="18"/>
        </w:rPr>
        <w:t>Dokumentų derinimui numatomas iki 2 (dviejų) iteracijų ciklas, kurio metu Rangovas pateikia pataisytas redakcijas pagal Užsakovo pastabas, nebent Užsakovas ir Rangovas susitaria kitaip.</w:t>
      </w:r>
    </w:p>
    <w:p w14:paraId="52D6C618" w14:textId="537E90B2" w:rsidR="00EC3C54" w:rsidRDefault="007311F2">
      <w:pPr>
        <w:pStyle w:val="ListParagraph"/>
        <w:numPr>
          <w:ilvl w:val="1"/>
          <w:numId w:val="16"/>
        </w:numPr>
        <w:spacing w:before="240" w:after="240"/>
        <w:jc w:val="both"/>
        <w:outlineLvl w:val="1"/>
        <w:rPr>
          <w:rFonts w:ascii="Arial" w:hAnsi="Arial" w:cs="Arial"/>
          <w:sz w:val="18"/>
          <w:szCs w:val="18"/>
        </w:rPr>
      </w:pPr>
      <w:r>
        <w:rPr>
          <w:rFonts w:ascii="Arial" w:hAnsi="Arial" w:cs="Arial"/>
          <w:sz w:val="18"/>
          <w:szCs w:val="18"/>
        </w:rPr>
        <w:t xml:space="preserve">Poreikis dėl papildomų konsultacinių valandų, nurodytų punkte </w:t>
      </w:r>
      <w:r w:rsidR="00022D4F">
        <w:rPr>
          <w:rFonts w:ascii="Arial" w:hAnsi="Arial" w:cs="Arial"/>
          <w:sz w:val="18"/>
          <w:szCs w:val="18"/>
          <w:lang w:val="en-US"/>
        </w:rPr>
        <w:t>1.4</w:t>
      </w:r>
      <w:r>
        <w:rPr>
          <w:rFonts w:ascii="Arial" w:hAnsi="Arial" w:cs="Arial"/>
          <w:sz w:val="18"/>
          <w:szCs w:val="18"/>
        </w:rPr>
        <w:t>, derinamas el. paštu. Rangovas kiekvienai darbo savaitei, kurios metu buvo suteiktos konsultacinės valandos, pateikia  žiniaraštį, kuriame pateikiamas suteiktų konsultacinių valandų kiekis ir tikslas. Atsiskaitymas už konsultacines valandas vykdomas pagal suderintą žiniaraštį, bet ne dažniau kaip vieną kartą per mėnesį.</w:t>
      </w:r>
    </w:p>
    <w:p w14:paraId="52D6C619" w14:textId="77777777" w:rsidR="00EC3C54" w:rsidRDefault="007311F2">
      <w:pPr>
        <w:pStyle w:val="ListParagraph"/>
        <w:numPr>
          <w:ilvl w:val="1"/>
          <w:numId w:val="16"/>
        </w:numPr>
        <w:jc w:val="both"/>
        <w:outlineLvl w:val="1"/>
        <w:rPr>
          <w:rFonts w:ascii="Arial" w:hAnsi="Arial" w:cs="Arial"/>
          <w:sz w:val="18"/>
          <w:szCs w:val="18"/>
        </w:rPr>
      </w:pPr>
      <w:r>
        <w:rPr>
          <w:rFonts w:ascii="Arial" w:hAnsi="Arial" w:cs="Arial"/>
          <w:sz w:val="18"/>
          <w:szCs w:val="18"/>
        </w:rPr>
        <w:t>Dokumentų šablonai ir turinys turi būti suderinti su Užsakovu prieš pradedant darbus. Galutinės dokumentų versijos turi atitikti suderintus šablonus ir visus šioje Techninėje specifikacijoje apibrėžtus reikalavimus.</w:t>
      </w:r>
    </w:p>
    <w:p w14:paraId="52D6C61A" w14:textId="77777777" w:rsidR="00EC3C54" w:rsidRDefault="007311F2">
      <w:pPr>
        <w:pStyle w:val="ListParagraph"/>
        <w:numPr>
          <w:ilvl w:val="1"/>
          <w:numId w:val="16"/>
        </w:numPr>
        <w:jc w:val="both"/>
        <w:outlineLvl w:val="1"/>
        <w:rPr>
          <w:rFonts w:ascii="Arial" w:hAnsi="Arial" w:cs="Arial"/>
          <w:sz w:val="18"/>
          <w:szCs w:val="18"/>
        </w:rPr>
      </w:pPr>
      <w:r>
        <w:rPr>
          <w:rFonts w:ascii="Arial" w:hAnsi="Arial" w:cs="Arial"/>
          <w:sz w:val="18"/>
          <w:szCs w:val="18"/>
        </w:rPr>
        <w:t>Dokumentuose privalo būti pateikta, bet neapsiribojant:</w:t>
      </w:r>
    </w:p>
    <w:p w14:paraId="52D6C61B" w14:textId="77777777" w:rsidR="00EC3C54" w:rsidRDefault="007311F2">
      <w:pPr>
        <w:pStyle w:val="ListParagraph"/>
        <w:numPr>
          <w:ilvl w:val="2"/>
          <w:numId w:val="16"/>
        </w:numPr>
        <w:jc w:val="both"/>
        <w:outlineLvl w:val="1"/>
        <w:rPr>
          <w:rFonts w:ascii="Arial" w:hAnsi="Arial" w:cs="Arial"/>
          <w:sz w:val="18"/>
          <w:szCs w:val="18"/>
        </w:rPr>
      </w:pPr>
      <w:r>
        <w:rPr>
          <w:rFonts w:ascii="Arial" w:hAnsi="Arial" w:cs="Arial"/>
          <w:sz w:val="18"/>
          <w:szCs w:val="18"/>
        </w:rPr>
        <w:t>Visa šioje Techninėje specifikacijoje apibrėžta imtis;</w:t>
      </w:r>
    </w:p>
    <w:p w14:paraId="52D6C61C" w14:textId="77777777" w:rsidR="00EC3C54" w:rsidRDefault="007311F2">
      <w:pPr>
        <w:pStyle w:val="ListParagraph"/>
        <w:numPr>
          <w:ilvl w:val="2"/>
          <w:numId w:val="16"/>
        </w:numPr>
        <w:jc w:val="both"/>
        <w:outlineLvl w:val="1"/>
        <w:rPr>
          <w:rFonts w:ascii="Arial" w:hAnsi="Arial" w:cs="Arial"/>
          <w:sz w:val="18"/>
          <w:szCs w:val="18"/>
        </w:rPr>
      </w:pPr>
      <w:r>
        <w:rPr>
          <w:rFonts w:ascii="Arial" w:hAnsi="Arial" w:cs="Arial"/>
          <w:sz w:val="18"/>
          <w:szCs w:val="18"/>
        </w:rPr>
        <w:t xml:space="preserve">Užduotims atlikti naudoti šaltiniai ir įrankiai, įskaitant ir tuos, kurie nėra tiesiogiai paminėti Techninėje specifikacijoje. </w:t>
      </w:r>
    </w:p>
    <w:p w14:paraId="52D6C61D" w14:textId="77777777" w:rsidR="00EC3C54" w:rsidRDefault="007311F2">
      <w:pPr>
        <w:pStyle w:val="ListParagraph"/>
        <w:numPr>
          <w:ilvl w:val="1"/>
          <w:numId w:val="16"/>
        </w:numPr>
        <w:jc w:val="both"/>
        <w:outlineLvl w:val="1"/>
        <w:rPr>
          <w:rFonts w:ascii="Arial" w:hAnsi="Arial" w:cs="Arial"/>
          <w:sz w:val="18"/>
          <w:szCs w:val="18"/>
        </w:rPr>
      </w:pPr>
      <w:r>
        <w:rPr>
          <w:rFonts w:ascii="Arial" w:hAnsi="Arial" w:cs="Arial"/>
          <w:sz w:val="18"/>
          <w:szCs w:val="18"/>
        </w:rPr>
        <w:t>Visų dokumentų perdavimas vykdomas elektroniniais kanalais – el. paštu, nebent Užsakovas ir Rangovas susitaria kitaip.</w:t>
      </w:r>
    </w:p>
    <w:p w14:paraId="52D6C61E" w14:textId="77777777" w:rsidR="00EC3C54" w:rsidRDefault="00EC3C54"/>
    <w:p w14:paraId="52D6C61F" w14:textId="77777777" w:rsidR="00EC3C54" w:rsidRDefault="007311F2">
      <w:pPr>
        <w:pStyle w:val="Heading1"/>
        <w:numPr>
          <w:ilvl w:val="0"/>
          <w:numId w:val="16"/>
        </w:numPr>
      </w:pPr>
      <w:r>
        <w:t>Terminai</w:t>
      </w:r>
    </w:p>
    <w:p w14:paraId="52D6C620" w14:textId="77777777" w:rsidR="00EC3C54" w:rsidRDefault="007311F2">
      <w:pPr>
        <w:pStyle w:val="ListParagraph"/>
        <w:spacing w:line="300" w:lineRule="atLeast"/>
        <w:ind w:left="360"/>
        <w:rPr>
          <w:rFonts w:ascii="Arial" w:hAnsi="Arial" w:cs="Arial"/>
          <w:sz w:val="18"/>
          <w:szCs w:val="18"/>
        </w:rPr>
      </w:pPr>
      <w:r>
        <w:rPr>
          <w:rFonts w:ascii="Arial" w:hAnsi="Arial" w:cs="Arial"/>
          <w:sz w:val="18"/>
          <w:szCs w:val="18"/>
        </w:rPr>
        <w:t>Rangovas privalo vykdyti darbus pagal žemiau pateiktą darbų grafiką, kuriame M0 laikomas Sutarties pasirašymo diena, ir nustatytomis datomis pasiekti kiekvieną jame nurodytą gairę.</w:t>
      </w:r>
    </w:p>
    <w:p w14:paraId="52D6C621" w14:textId="77777777" w:rsidR="00EC3C54" w:rsidRDefault="00EC3C54">
      <w:pPr>
        <w:pStyle w:val="ListParagraph"/>
        <w:spacing w:line="300" w:lineRule="atLeast"/>
        <w:ind w:left="360"/>
        <w:rPr>
          <w:rFonts w:ascii="Arial" w:hAnsi="Arial" w:cs="Arial"/>
          <w:sz w:val="18"/>
          <w:szCs w:val="18"/>
        </w:rPr>
      </w:pPr>
    </w:p>
    <w:tbl>
      <w:tblPr>
        <w:tblW w:w="8890" w:type="dxa"/>
        <w:tblLook w:val="04A0" w:firstRow="1" w:lastRow="0" w:firstColumn="1" w:lastColumn="0" w:noHBand="0" w:noVBand="1"/>
      </w:tblPr>
      <w:tblGrid>
        <w:gridCol w:w="1417"/>
        <w:gridCol w:w="5382"/>
        <w:gridCol w:w="2091"/>
      </w:tblGrid>
      <w:tr w:rsidR="00EC3C54" w14:paraId="52D6C625" w14:textId="77777777">
        <w:trPr>
          <w:trHeight w:val="248"/>
        </w:trPr>
        <w:tc>
          <w:tcPr>
            <w:tcW w:w="1417" w:type="dxa"/>
            <w:tcBorders>
              <w:top w:val="single" w:sz="4" w:space="0" w:color="auto"/>
              <w:left w:val="single" w:sz="4" w:space="0" w:color="auto"/>
              <w:bottom w:val="single" w:sz="4" w:space="0" w:color="auto"/>
              <w:right w:val="single" w:sz="4" w:space="0" w:color="auto"/>
            </w:tcBorders>
            <w:noWrap/>
            <w:vAlign w:val="center"/>
            <w:hideMark/>
          </w:tcPr>
          <w:p w14:paraId="52D6C622"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Gairė</w:t>
            </w:r>
          </w:p>
        </w:tc>
        <w:tc>
          <w:tcPr>
            <w:tcW w:w="5382" w:type="dxa"/>
            <w:tcBorders>
              <w:top w:val="single" w:sz="4" w:space="0" w:color="auto"/>
              <w:left w:val="nil"/>
              <w:bottom w:val="single" w:sz="4" w:space="0" w:color="auto"/>
              <w:right w:val="single" w:sz="4" w:space="0" w:color="auto"/>
            </w:tcBorders>
            <w:vAlign w:val="center"/>
            <w:hideMark/>
          </w:tcPr>
          <w:p w14:paraId="52D6C623"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Rezultatas</w:t>
            </w:r>
          </w:p>
        </w:tc>
        <w:tc>
          <w:tcPr>
            <w:tcW w:w="2091" w:type="dxa"/>
            <w:tcBorders>
              <w:top w:val="single" w:sz="4" w:space="0" w:color="auto"/>
              <w:left w:val="nil"/>
              <w:bottom w:val="single" w:sz="4" w:space="0" w:color="auto"/>
              <w:right w:val="single" w:sz="4" w:space="0" w:color="auto"/>
            </w:tcBorders>
            <w:vAlign w:val="center"/>
            <w:hideMark/>
          </w:tcPr>
          <w:p w14:paraId="52D6C624"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Terminas</w:t>
            </w:r>
          </w:p>
        </w:tc>
      </w:tr>
      <w:tr w:rsidR="00EC3C54" w14:paraId="52D6C629" w14:textId="77777777">
        <w:trPr>
          <w:trHeight w:val="248"/>
        </w:trPr>
        <w:tc>
          <w:tcPr>
            <w:tcW w:w="1417" w:type="dxa"/>
            <w:tcBorders>
              <w:top w:val="nil"/>
              <w:left w:val="single" w:sz="4" w:space="0" w:color="auto"/>
              <w:bottom w:val="single" w:sz="4" w:space="0" w:color="auto"/>
              <w:right w:val="single" w:sz="4" w:space="0" w:color="auto"/>
            </w:tcBorders>
            <w:noWrap/>
            <w:vAlign w:val="center"/>
            <w:hideMark/>
          </w:tcPr>
          <w:p w14:paraId="52D6C626"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M1</w:t>
            </w:r>
          </w:p>
        </w:tc>
        <w:tc>
          <w:tcPr>
            <w:tcW w:w="5382" w:type="dxa"/>
            <w:tcBorders>
              <w:top w:val="nil"/>
              <w:left w:val="nil"/>
              <w:bottom w:val="single" w:sz="4" w:space="0" w:color="auto"/>
              <w:right w:val="single" w:sz="4" w:space="0" w:color="auto"/>
            </w:tcBorders>
            <w:vAlign w:val="center"/>
            <w:hideMark/>
          </w:tcPr>
          <w:p w14:paraId="52D6C627"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Pateiktas ir su Užsakovu suderintas darbų grafikas bei įvykdytas pradinis projekto susitikimas, kuriame patvirtinama darbų eiga ir metodika, aptartas siektinas rezultatas</w:t>
            </w:r>
          </w:p>
        </w:tc>
        <w:tc>
          <w:tcPr>
            <w:tcW w:w="2091" w:type="dxa"/>
            <w:tcBorders>
              <w:top w:val="nil"/>
              <w:left w:val="nil"/>
              <w:bottom w:val="single" w:sz="4" w:space="0" w:color="auto"/>
              <w:right w:val="single" w:sz="4" w:space="0" w:color="auto"/>
            </w:tcBorders>
            <w:vAlign w:val="center"/>
            <w:hideMark/>
          </w:tcPr>
          <w:p w14:paraId="52D6C628"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M0 + 14 dienų</w:t>
            </w:r>
          </w:p>
        </w:tc>
      </w:tr>
      <w:tr w:rsidR="00EC3C54" w14:paraId="52D6C62D" w14:textId="77777777">
        <w:trPr>
          <w:trHeight w:val="497"/>
        </w:trPr>
        <w:tc>
          <w:tcPr>
            <w:tcW w:w="1417" w:type="dxa"/>
            <w:tcBorders>
              <w:top w:val="nil"/>
              <w:left w:val="single" w:sz="4" w:space="0" w:color="auto"/>
              <w:bottom w:val="single" w:sz="4" w:space="0" w:color="auto"/>
              <w:right w:val="single" w:sz="4" w:space="0" w:color="auto"/>
            </w:tcBorders>
            <w:noWrap/>
            <w:vAlign w:val="center"/>
            <w:hideMark/>
          </w:tcPr>
          <w:p w14:paraId="52D6C62A"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M2</w:t>
            </w:r>
          </w:p>
        </w:tc>
        <w:tc>
          <w:tcPr>
            <w:tcW w:w="5382" w:type="dxa"/>
            <w:tcBorders>
              <w:top w:val="nil"/>
              <w:left w:val="nil"/>
              <w:bottom w:val="single" w:sz="4" w:space="0" w:color="auto"/>
              <w:right w:val="single" w:sz="4" w:space="0" w:color="auto"/>
            </w:tcBorders>
            <w:vAlign w:val="center"/>
            <w:hideMark/>
          </w:tcPr>
          <w:p w14:paraId="52D6C62B"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Pateiktas Operatyvinio planavimo IT sprendimų analizės dokumentas (8.1. punktas, 1-asis etapas)</w:t>
            </w:r>
          </w:p>
        </w:tc>
        <w:tc>
          <w:tcPr>
            <w:tcW w:w="2091" w:type="dxa"/>
            <w:tcBorders>
              <w:top w:val="nil"/>
              <w:left w:val="nil"/>
              <w:bottom w:val="single" w:sz="4" w:space="0" w:color="auto"/>
              <w:right w:val="single" w:sz="4" w:space="0" w:color="auto"/>
            </w:tcBorders>
            <w:vAlign w:val="center"/>
            <w:hideMark/>
          </w:tcPr>
          <w:p w14:paraId="52D6C62C"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 xml:space="preserve">M0 + 2 mėn. </w:t>
            </w:r>
          </w:p>
        </w:tc>
      </w:tr>
      <w:tr w:rsidR="00EC3C54" w14:paraId="52D6C631" w14:textId="77777777">
        <w:trPr>
          <w:trHeight w:val="497"/>
        </w:trPr>
        <w:tc>
          <w:tcPr>
            <w:tcW w:w="1417" w:type="dxa"/>
            <w:tcBorders>
              <w:top w:val="nil"/>
              <w:left w:val="single" w:sz="4" w:space="0" w:color="auto"/>
              <w:bottom w:val="single" w:sz="4" w:space="0" w:color="auto"/>
              <w:right w:val="single" w:sz="4" w:space="0" w:color="auto"/>
            </w:tcBorders>
            <w:noWrap/>
            <w:vAlign w:val="center"/>
          </w:tcPr>
          <w:p w14:paraId="52D6C62E"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M3</w:t>
            </w:r>
          </w:p>
        </w:tc>
        <w:tc>
          <w:tcPr>
            <w:tcW w:w="5382" w:type="dxa"/>
            <w:tcBorders>
              <w:top w:val="nil"/>
              <w:left w:val="nil"/>
              <w:bottom w:val="single" w:sz="4" w:space="0" w:color="auto"/>
              <w:right w:val="single" w:sz="4" w:space="0" w:color="auto"/>
            </w:tcBorders>
            <w:vAlign w:val="center"/>
          </w:tcPr>
          <w:p w14:paraId="52D6C62F"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Pateiktas IT sprendimų vertinimo dokumentas (8.1. punktas, 2-asis etapas)</w:t>
            </w:r>
          </w:p>
        </w:tc>
        <w:tc>
          <w:tcPr>
            <w:tcW w:w="2091" w:type="dxa"/>
            <w:tcBorders>
              <w:top w:val="nil"/>
              <w:left w:val="nil"/>
              <w:bottom w:val="single" w:sz="4" w:space="0" w:color="auto"/>
              <w:right w:val="single" w:sz="4" w:space="0" w:color="auto"/>
            </w:tcBorders>
            <w:vAlign w:val="center"/>
          </w:tcPr>
          <w:p w14:paraId="52D6C630"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 xml:space="preserve">M0 + 4 mėn. </w:t>
            </w:r>
          </w:p>
        </w:tc>
      </w:tr>
      <w:tr w:rsidR="00EC3C54" w14:paraId="52D6C635" w14:textId="77777777">
        <w:trPr>
          <w:trHeight w:val="497"/>
        </w:trPr>
        <w:tc>
          <w:tcPr>
            <w:tcW w:w="1417" w:type="dxa"/>
            <w:tcBorders>
              <w:top w:val="nil"/>
              <w:left w:val="single" w:sz="4" w:space="0" w:color="auto"/>
              <w:bottom w:val="single" w:sz="4" w:space="0" w:color="auto"/>
              <w:right w:val="single" w:sz="4" w:space="0" w:color="auto"/>
            </w:tcBorders>
            <w:noWrap/>
            <w:vAlign w:val="center"/>
          </w:tcPr>
          <w:p w14:paraId="52D6C632"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M4</w:t>
            </w:r>
          </w:p>
        </w:tc>
        <w:tc>
          <w:tcPr>
            <w:tcW w:w="5382" w:type="dxa"/>
            <w:tcBorders>
              <w:top w:val="nil"/>
              <w:left w:val="nil"/>
              <w:bottom w:val="single" w:sz="4" w:space="0" w:color="auto"/>
              <w:right w:val="single" w:sz="4" w:space="0" w:color="auto"/>
            </w:tcBorders>
            <w:vAlign w:val="center"/>
          </w:tcPr>
          <w:p w14:paraId="52D6C633"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Pateiktas Rinkos analizės dokumentas (8.1. punktas,  3-asis etapas)</w:t>
            </w:r>
          </w:p>
        </w:tc>
        <w:tc>
          <w:tcPr>
            <w:tcW w:w="2091" w:type="dxa"/>
            <w:tcBorders>
              <w:top w:val="nil"/>
              <w:left w:val="nil"/>
              <w:bottom w:val="single" w:sz="4" w:space="0" w:color="auto"/>
              <w:right w:val="single" w:sz="4" w:space="0" w:color="auto"/>
            </w:tcBorders>
            <w:vAlign w:val="center"/>
          </w:tcPr>
          <w:p w14:paraId="52D6C634"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 xml:space="preserve">M0 + 5 mėn.  </w:t>
            </w:r>
          </w:p>
        </w:tc>
      </w:tr>
      <w:tr w:rsidR="00EC3C54" w14:paraId="52D6C639" w14:textId="77777777">
        <w:trPr>
          <w:trHeight w:val="747"/>
        </w:trPr>
        <w:tc>
          <w:tcPr>
            <w:tcW w:w="1417" w:type="dxa"/>
            <w:tcBorders>
              <w:top w:val="nil"/>
              <w:left w:val="single" w:sz="4" w:space="0" w:color="auto"/>
              <w:bottom w:val="single" w:sz="4" w:space="0" w:color="auto"/>
              <w:right w:val="single" w:sz="4" w:space="0" w:color="auto"/>
            </w:tcBorders>
            <w:noWrap/>
            <w:vAlign w:val="center"/>
          </w:tcPr>
          <w:p w14:paraId="52D6C636"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M5</w:t>
            </w:r>
          </w:p>
        </w:tc>
        <w:tc>
          <w:tcPr>
            <w:tcW w:w="5382" w:type="dxa"/>
            <w:tcBorders>
              <w:top w:val="nil"/>
              <w:left w:val="nil"/>
              <w:bottom w:val="single" w:sz="4" w:space="0" w:color="auto"/>
              <w:right w:val="single" w:sz="4" w:space="0" w:color="auto"/>
            </w:tcBorders>
            <w:vAlign w:val="center"/>
          </w:tcPr>
          <w:p w14:paraId="52D6C637"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Pateiktas Rekomendacijų dokumentas kartu ir galutinis dokumentas (8.1. punktas,  4-asis etapas)</w:t>
            </w:r>
          </w:p>
        </w:tc>
        <w:tc>
          <w:tcPr>
            <w:tcW w:w="2091" w:type="dxa"/>
            <w:tcBorders>
              <w:top w:val="nil"/>
              <w:left w:val="nil"/>
              <w:bottom w:val="single" w:sz="4" w:space="0" w:color="auto"/>
              <w:right w:val="single" w:sz="4" w:space="0" w:color="auto"/>
            </w:tcBorders>
            <w:vAlign w:val="center"/>
          </w:tcPr>
          <w:p w14:paraId="52D6C638"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 xml:space="preserve">M0+ 5,5 mėn </w:t>
            </w:r>
          </w:p>
        </w:tc>
      </w:tr>
      <w:tr w:rsidR="00EC3C54" w14:paraId="52D6C63D" w14:textId="77777777">
        <w:trPr>
          <w:trHeight w:val="747"/>
        </w:trPr>
        <w:tc>
          <w:tcPr>
            <w:tcW w:w="1417" w:type="dxa"/>
            <w:tcBorders>
              <w:top w:val="nil"/>
              <w:left w:val="single" w:sz="4" w:space="0" w:color="auto"/>
              <w:bottom w:val="single" w:sz="4" w:space="0" w:color="auto"/>
              <w:right w:val="single" w:sz="4" w:space="0" w:color="auto"/>
            </w:tcBorders>
            <w:noWrap/>
            <w:vAlign w:val="center"/>
            <w:hideMark/>
          </w:tcPr>
          <w:p w14:paraId="52D6C63A"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M6</w:t>
            </w:r>
          </w:p>
        </w:tc>
        <w:tc>
          <w:tcPr>
            <w:tcW w:w="5382" w:type="dxa"/>
            <w:tcBorders>
              <w:top w:val="nil"/>
              <w:left w:val="nil"/>
              <w:bottom w:val="single" w:sz="4" w:space="0" w:color="auto"/>
              <w:right w:val="single" w:sz="4" w:space="0" w:color="auto"/>
            </w:tcBorders>
            <w:vAlign w:val="center"/>
            <w:hideMark/>
          </w:tcPr>
          <w:p w14:paraId="52D6C63B"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Suderintas galutinis dokumentas</w:t>
            </w:r>
          </w:p>
        </w:tc>
        <w:tc>
          <w:tcPr>
            <w:tcW w:w="2091" w:type="dxa"/>
            <w:tcBorders>
              <w:top w:val="nil"/>
              <w:left w:val="nil"/>
              <w:bottom w:val="single" w:sz="4" w:space="0" w:color="auto"/>
              <w:right w:val="single" w:sz="4" w:space="0" w:color="auto"/>
            </w:tcBorders>
            <w:vAlign w:val="center"/>
            <w:hideMark/>
          </w:tcPr>
          <w:p w14:paraId="52D6C63C" w14:textId="77777777" w:rsidR="00EC3C54" w:rsidRDefault="007311F2">
            <w:pPr>
              <w:spacing w:after="0" w:line="240" w:lineRule="auto"/>
              <w:rPr>
                <w:rFonts w:ascii="Arial" w:eastAsia="Times New Roman" w:hAnsi="Arial" w:cs="Arial"/>
                <w:sz w:val="18"/>
                <w:szCs w:val="18"/>
              </w:rPr>
            </w:pPr>
            <w:r>
              <w:rPr>
                <w:rFonts w:ascii="Arial" w:eastAsia="Times New Roman" w:hAnsi="Arial" w:cs="Arial"/>
                <w:sz w:val="18"/>
                <w:szCs w:val="18"/>
              </w:rPr>
              <w:t xml:space="preserve">M0 + 6 mėn. </w:t>
            </w:r>
          </w:p>
        </w:tc>
      </w:tr>
    </w:tbl>
    <w:p w14:paraId="52D6C63E" w14:textId="77777777" w:rsidR="00EC3C54" w:rsidRDefault="00EC3C54">
      <w:pPr>
        <w:rPr>
          <w:rFonts w:ascii="Arial" w:eastAsia="Times New Roman" w:hAnsi="Arial" w:cs="Arial"/>
          <w:sz w:val="18"/>
          <w:szCs w:val="18"/>
        </w:rPr>
      </w:pPr>
    </w:p>
    <w:sectPr w:rsidR="00EC3C54">
      <w:pgSz w:w="11906" w:h="16838"/>
      <w:pgMar w:top="1134" w:right="567" w:bottom="1134" w:left="1701" w:header="45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6C64B" w14:textId="77777777" w:rsidR="007311F2" w:rsidRDefault="007311F2">
      <w:pPr>
        <w:spacing w:after="0" w:line="240" w:lineRule="auto"/>
      </w:pPr>
      <w:r>
        <w:separator/>
      </w:r>
    </w:p>
  </w:endnote>
  <w:endnote w:type="continuationSeparator" w:id="0">
    <w:p w14:paraId="52D6C64D" w14:textId="77777777" w:rsidR="007311F2" w:rsidRDefault="00731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445266"/>
      <w:docPartObj>
        <w:docPartGallery w:val="Page Numbers (Bottom of Page)"/>
        <w:docPartUnique/>
      </w:docPartObj>
    </w:sdtPr>
    <w:sdtEndPr>
      <w:rPr>
        <w:rFonts w:ascii="Arial" w:hAnsi="Arial" w:cs="Arial"/>
        <w:sz w:val="20"/>
        <w:szCs w:val="20"/>
      </w:rPr>
    </w:sdtEndPr>
    <w:sdtContent>
      <w:p w14:paraId="52D6C642" w14:textId="77777777" w:rsidR="00EC3C54" w:rsidRDefault="007311F2">
        <w:pPr>
          <w:pStyle w:val="Footer"/>
          <w:jc w:val="center"/>
          <w:rPr>
            <w:rFonts w:ascii="Arial" w:hAnsi="Arial" w:cs="Arial"/>
            <w:sz w:val="20"/>
            <w:szCs w:val="20"/>
          </w:rPr>
        </w:pPr>
        <w:r>
          <w:t xml:space="preserve">  </w:t>
        </w: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Pr>
            <w:rFonts w:ascii="Arial" w:hAnsi="Arial" w:cs="Arial"/>
            <w:sz w:val="20"/>
            <w:szCs w:val="20"/>
          </w:rPr>
          <w:t>8</w:t>
        </w:r>
        <w:r>
          <w:rPr>
            <w:rFonts w:ascii="Arial" w:hAnsi="Arial" w:cs="Arial"/>
            <w:sz w:val="20"/>
            <w:szCs w:val="20"/>
          </w:rPr>
          <w:fldChar w:fldCharType="end"/>
        </w:r>
      </w:p>
    </w:sdtContent>
  </w:sdt>
  <w:p w14:paraId="52D6C643" w14:textId="77777777" w:rsidR="00EC3C54" w:rsidRDefault="00EC3C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8390191"/>
      <w:docPartObj>
        <w:docPartGallery w:val="Page Numbers (Bottom of Page)"/>
        <w:docPartUnique/>
      </w:docPartObj>
    </w:sdtPr>
    <w:sdtEndPr/>
    <w:sdtContent>
      <w:p w14:paraId="52D6C645" w14:textId="77777777" w:rsidR="00EC3C54" w:rsidRDefault="007311F2">
        <w:pPr>
          <w:pStyle w:val="Footer"/>
          <w:jc w:val="center"/>
        </w:pPr>
        <w:r>
          <w:fldChar w:fldCharType="begin"/>
        </w:r>
        <w:r>
          <w:instrText>PAGE   \* MERGEFORMAT</w:instrText>
        </w:r>
        <w:r>
          <w:fldChar w:fldCharType="separate"/>
        </w:r>
        <w:r>
          <w:t>4</w:t>
        </w:r>
        <w:r>
          <w:fldChar w:fldCharType="end"/>
        </w:r>
      </w:p>
    </w:sdtContent>
  </w:sdt>
  <w:p w14:paraId="52D6C646" w14:textId="77777777" w:rsidR="00EC3C54" w:rsidRDefault="00EC3C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6C647" w14:textId="77777777" w:rsidR="007311F2" w:rsidRDefault="007311F2">
      <w:pPr>
        <w:spacing w:after="0" w:line="240" w:lineRule="auto"/>
      </w:pPr>
      <w:r>
        <w:separator/>
      </w:r>
    </w:p>
  </w:footnote>
  <w:footnote w:type="continuationSeparator" w:id="0">
    <w:p w14:paraId="52D6C649" w14:textId="77777777" w:rsidR="007311F2" w:rsidRDefault="007311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6C641" w14:textId="77777777" w:rsidR="00EC3C54" w:rsidRDefault="00EC3C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6C644" w14:textId="77777777" w:rsidR="00EC3C54" w:rsidRDefault="007311F2">
    <w:pPr>
      <w:pStyle w:val="Header"/>
      <w:jc w:val="right"/>
      <w:rPr>
        <w:rFonts w:ascii="Arial" w:hAnsi="Arial" w:cs="Arial"/>
        <w:sz w:val="20"/>
        <w:szCs w:val="20"/>
      </w:rPr>
    </w:pPr>
    <w:r>
      <w:rPr>
        <w:noProof/>
      </w:rPr>
      <w:drawing>
        <wp:anchor distT="0" distB="0" distL="114300" distR="114300" simplePos="0" relativeHeight="251658240" behindDoc="0" locked="0" layoutInCell="1" allowOverlap="1" wp14:anchorId="52D6C647" wp14:editId="52D6C648">
          <wp:simplePos x="0" y="0"/>
          <wp:positionH relativeFrom="margin">
            <wp:align>center</wp:align>
          </wp:positionH>
          <wp:positionV relativeFrom="paragraph">
            <wp:posOffset>48895</wp:posOffset>
          </wp:positionV>
          <wp:extent cx="638810" cy="955040"/>
          <wp:effectExtent l="0" t="0" r="8890" b="0"/>
          <wp:wrapTopAndBottom/>
          <wp:docPr id="2" name="Picture 167012008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9550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13845"/>
    <w:multiLevelType w:val="multilevel"/>
    <w:tmpl w:val="28A0D57A"/>
    <w:styleLink w:val="CurrentList1"/>
    <w:lvl w:ilvl="0">
      <w:start w:val="1"/>
      <w:numFmt w:val="decimal"/>
      <w:lvlText w:val="%1."/>
      <w:lvlJc w:val="left"/>
      <w:pPr>
        <w:ind w:left="795" w:hanging="360"/>
      </w:pPr>
    </w:lvl>
    <w:lvl w:ilvl="1">
      <w:start w:val="1"/>
      <w:numFmt w:val="decimal"/>
      <w:isLgl/>
      <w:lvlText w:val="%1.%2"/>
      <w:lvlJc w:val="left"/>
      <w:pPr>
        <w:ind w:left="795" w:hanging="36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155" w:hanging="72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1875" w:hanging="1440"/>
      </w:pPr>
      <w:rPr>
        <w:rFonts w:hint="default"/>
      </w:rPr>
    </w:lvl>
  </w:abstractNum>
  <w:abstractNum w:abstractNumId="1" w15:restartNumberingAfterBreak="0">
    <w:nsid w:val="06E94617"/>
    <w:multiLevelType w:val="multilevel"/>
    <w:tmpl w:val="A01E4C88"/>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2" w15:restartNumberingAfterBreak="0">
    <w:nsid w:val="20034525"/>
    <w:multiLevelType w:val="multilevel"/>
    <w:tmpl w:val="0FBE6B66"/>
    <w:styleLink w:val="CurrentList4"/>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
      <w:lvlJc w:val="left"/>
      <w:pPr>
        <w:ind w:left="1440" w:hanging="360"/>
      </w:pPr>
      <w:rPr>
        <w:rFonts w:ascii="Arial" w:eastAsiaTheme="minorHAnsi"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8409FF"/>
    <w:multiLevelType w:val="multilevel"/>
    <w:tmpl w:val="AE2C4DC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FC64CE"/>
    <w:multiLevelType w:val="multilevel"/>
    <w:tmpl w:val="C8260EB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29086363"/>
    <w:multiLevelType w:val="multilevel"/>
    <w:tmpl w:val="D57A6074"/>
    <w:lvl w:ilvl="0">
      <w:numFmt w:val="bullet"/>
      <w:lvlText w:val="-"/>
      <w:lvlJc w:val="left"/>
      <w:pPr>
        <w:ind w:left="1800" w:hanging="360"/>
      </w:pPr>
      <w:rPr>
        <w:rFonts w:ascii="Arial" w:eastAsiaTheme="minorHAnsi" w:hAnsi="Arial" w:cs="Aria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 w15:restartNumberingAfterBreak="0">
    <w:nsid w:val="2C6E27A8"/>
    <w:multiLevelType w:val="multilevel"/>
    <w:tmpl w:val="05AC09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0D30A8"/>
    <w:multiLevelType w:val="multilevel"/>
    <w:tmpl w:val="6D12CE5A"/>
    <w:styleLink w:val="CurrentList3"/>
    <w:lvl w:ilvl="0">
      <w:start w:val="4"/>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8" w15:restartNumberingAfterBreak="0">
    <w:nsid w:val="33934D76"/>
    <w:multiLevelType w:val="multilevel"/>
    <w:tmpl w:val="178A9100"/>
    <w:lvl w:ilvl="0">
      <w:start w:val="1"/>
      <w:numFmt w:val="lowerLetter"/>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3A895CED"/>
    <w:multiLevelType w:val="multilevel"/>
    <w:tmpl w:val="24543258"/>
    <w:lvl w:ilvl="0">
      <w:start w:val="5"/>
      <w:numFmt w:val="bullet"/>
      <w:lvlText w:val="-"/>
      <w:lvlJc w:val="left"/>
      <w:pPr>
        <w:ind w:left="1440" w:hanging="360"/>
      </w:pPr>
      <w:rPr>
        <w:rFonts w:ascii="Arial" w:eastAsia="Times New Roman" w:hAnsi="Arial" w:cs="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45B0D6F"/>
    <w:multiLevelType w:val="multilevel"/>
    <w:tmpl w:val="C94ACB0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4BF0F51"/>
    <w:multiLevelType w:val="multilevel"/>
    <w:tmpl w:val="CF56921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EA54DB8"/>
    <w:multiLevelType w:val="multilevel"/>
    <w:tmpl w:val="D8364D68"/>
    <w:styleLink w:val="CurrentList2"/>
    <w:lvl w:ilvl="0">
      <w:start w:val="1"/>
      <w:numFmt w:val="decimal"/>
      <w:lvlText w:val="%1."/>
      <w:lvlJc w:val="left"/>
      <w:pPr>
        <w:ind w:left="1155" w:hanging="360"/>
      </w:pPr>
      <w:rPr>
        <w:rFonts w:ascii="Arial" w:eastAsiaTheme="minorHAnsi" w:hAnsi="Arial" w:cs="Arial"/>
      </w:rPr>
    </w:lvl>
    <w:lvl w:ilvl="1">
      <w:start w:val="1"/>
      <w:numFmt w:val="lowerLetter"/>
      <w:lvlText w:val="%2."/>
      <w:lvlJc w:val="left"/>
      <w:pPr>
        <w:ind w:left="1875" w:hanging="360"/>
      </w:pPr>
    </w:lvl>
    <w:lvl w:ilvl="2">
      <w:start w:val="1"/>
      <w:numFmt w:val="lowerRoman"/>
      <w:lvlText w:val="%3."/>
      <w:lvlJc w:val="right"/>
      <w:pPr>
        <w:ind w:left="2595" w:hanging="180"/>
      </w:pPr>
    </w:lvl>
    <w:lvl w:ilvl="3">
      <w:start w:val="1"/>
      <w:numFmt w:val="decimal"/>
      <w:lvlText w:val="%4."/>
      <w:lvlJc w:val="left"/>
      <w:pPr>
        <w:ind w:left="3315" w:hanging="360"/>
      </w:pPr>
    </w:lvl>
    <w:lvl w:ilvl="4">
      <w:start w:val="1"/>
      <w:numFmt w:val="lowerLetter"/>
      <w:lvlText w:val="%5."/>
      <w:lvlJc w:val="left"/>
      <w:pPr>
        <w:ind w:left="4035" w:hanging="360"/>
      </w:pPr>
    </w:lvl>
    <w:lvl w:ilvl="5">
      <w:start w:val="1"/>
      <w:numFmt w:val="lowerRoman"/>
      <w:lvlText w:val="%6."/>
      <w:lvlJc w:val="right"/>
      <w:pPr>
        <w:ind w:left="4755" w:hanging="180"/>
      </w:pPr>
    </w:lvl>
    <w:lvl w:ilvl="6">
      <w:start w:val="1"/>
      <w:numFmt w:val="decimal"/>
      <w:lvlText w:val="%7."/>
      <w:lvlJc w:val="left"/>
      <w:pPr>
        <w:ind w:left="5475" w:hanging="360"/>
      </w:pPr>
    </w:lvl>
    <w:lvl w:ilvl="7">
      <w:start w:val="1"/>
      <w:numFmt w:val="lowerLetter"/>
      <w:lvlText w:val="%8."/>
      <w:lvlJc w:val="left"/>
      <w:pPr>
        <w:ind w:left="6195" w:hanging="360"/>
      </w:pPr>
    </w:lvl>
    <w:lvl w:ilvl="8">
      <w:start w:val="1"/>
      <w:numFmt w:val="lowerRoman"/>
      <w:lvlText w:val="%9."/>
      <w:lvlJc w:val="right"/>
      <w:pPr>
        <w:ind w:left="6915" w:hanging="180"/>
      </w:pPr>
    </w:lvl>
  </w:abstractNum>
  <w:abstractNum w:abstractNumId="13" w15:restartNumberingAfterBreak="0">
    <w:nsid w:val="61250E0E"/>
    <w:multiLevelType w:val="multilevel"/>
    <w:tmpl w:val="9F88D302"/>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3"/>
      <w:numFmt w:val="bullet"/>
      <w:lvlText w:val="-"/>
      <w:lvlJc w:val="left"/>
      <w:pPr>
        <w:ind w:left="2340" w:hanging="360"/>
      </w:pPr>
      <w:rPr>
        <w:rFonts w:ascii="Arial" w:eastAsiaTheme="minorHAnsi" w:hAnsi="Arial" w:cs="Arial" w:hint="default"/>
      </w:rPr>
    </w:lvl>
    <w:lvl w:ilvl="3">
      <w:start w:val="1"/>
      <w:numFmt w:val="decimal"/>
      <w:lvlText w:val="%4."/>
      <w:lvlJc w:val="left"/>
      <w:pPr>
        <w:ind w:left="2880" w:hanging="360"/>
      </w:pPr>
    </w:lvl>
    <w:lvl w:ilvl="4">
      <w:start w:val="1"/>
      <w:numFmt w:val="lowerLetter"/>
      <w:lvlText w:val="%5)"/>
      <w:lvlJc w:val="left"/>
      <w:pPr>
        <w:ind w:left="3600" w:hanging="360"/>
      </w:pPr>
      <w:rPr>
        <w:rFonts w:hint="default"/>
      </w:rPr>
    </w:lvl>
    <w:lvl w:ilvl="5">
      <w:start w:val="8"/>
      <w:numFmt w:val="upperLetter"/>
      <w:lvlText w:val="%6)"/>
      <w:lvlJc w:val="left"/>
      <w:pPr>
        <w:ind w:left="4500" w:hanging="360"/>
      </w:pPr>
      <w:rPr>
        <w:rFonts w:hint="default"/>
        <w:smallCaps w:val="0"/>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EB4F54"/>
    <w:multiLevelType w:val="multilevel"/>
    <w:tmpl w:val="0A465EA4"/>
    <w:lvl w:ilvl="0">
      <w:start w:val="1"/>
      <w:numFmt w:val="decimal"/>
      <w:lvlText w:val="%1."/>
      <w:lvlJc w:val="left"/>
      <w:pPr>
        <w:ind w:left="644" w:hanging="360"/>
      </w:pPr>
      <w:rPr>
        <w:lang w:val="lt-LT"/>
      </w:rPr>
    </w:lvl>
    <w:lvl w:ilvl="1">
      <w:start w:val="1"/>
      <w:numFmt w:val="decimal"/>
      <w:isLgl/>
      <w:lvlText w:val="%1.%2."/>
      <w:lvlJc w:val="left"/>
      <w:pPr>
        <w:ind w:left="720" w:hanging="360"/>
      </w:pPr>
      <w:rPr>
        <w:rFonts w:ascii="Arial" w:hAnsi="Arial" w:cs="Arial" w:hint="default"/>
        <w:b w:val="0"/>
        <w:bCs w:val="0"/>
        <w:sz w:val="18"/>
        <w:szCs w:val="18"/>
      </w:rPr>
    </w:lvl>
    <w:lvl w:ilvl="2">
      <w:start w:val="1"/>
      <w:numFmt w:val="decimal"/>
      <w:isLgl/>
      <w:lvlText w:val="%1.%2.%3."/>
      <w:lvlJc w:val="left"/>
      <w:pPr>
        <w:ind w:left="1080" w:hanging="720"/>
      </w:pPr>
      <w:rPr>
        <w:rFonts w:ascii="Arial" w:hAnsi="Arial" w:cs="Arial" w:hint="default"/>
        <w:sz w:val="18"/>
        <w:szCs w:val="18"/>
      </w:rPr>
    </w:lvl>
    <w:lvl w:ilvl="3">
      <w:start w:val="1"/>
      <w:numFmt w:val="decimal"/>
      <w:isLgl/>
      <w:lvlText w:val="%1.%2.%3.%4."/>
      <w:lvlJc w:val="left"/>
      <w:pPr>
        <w:ind w:left="1080" w:hanging="720"/>
      </w:pPr>
      <w:rPr>
        <w:rFonts w:ascii="Arial" w:hAnsi="Arial" w:cs="Arial" w:hint="default"/>
        <w:strike w:val="0"/>
        <w:sz w:val="18"/>
        <w:szCs w:val="1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6F0F6047"/>
    <w:multiLevelType w:val="multilevel"/>
    <w:tmpl w:val="7D6658A8"/>
    <w:lvl w:ilvl="0">
      <w:start w:val="6"/>
      <w:numFmt w:val="decimal"/>
      <w:lvlText w:val="%1."/>
      <w:lvlJc w:val="left"/>
      <w:pPr>
        <w:ind w:left="360" w:hanging="360"/>
      </w:pPr>
      <w:rPr>
        <w:rFonts w:hint="default"/>
        <w:sz w:val="32"/>
      </w:rPr>
    </w:lvl>
    <w:lvl w:ilvl="1">
      <w:start w:val="1"/>
      <w:numFmt w:val="decimal"/>
      <w:lvlText w:val="%1.%2."/>
      <w:lvlJc w:val="left"/>
      <w:pPr>
        <w:ind w:left="720" w:hanging="360"/>
      </w:pPr>
      <w:rPr>
        <w:rFonts w:ascii="Arial" w:hAnsi="Arial" w:cs="Arial" w:hint="default"/>
        <w:sz w:val="18"/>
        <w:szCs w:val="1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013603782">
    <w:abstractNumId w:val="0"/>
  </w:num>
  <w:num w:numId="2" w16cid:durableId="1869172376">
    <w:abstractNumId w:val="1"/>
  </w:num>
  <w:num w:numId="3" w16cid:durableId="1064641457">
    <w:abstractNumId w:val="2"/>
  </w:num>
  <w:num w:numId="4" w16cid:durableId="456879382">
    <w:abstractNumId w:val="3"/>
  </w:num>
  <w:num w:numId="5" w16cid:durableId="102695173">
    <w:abstractNumId w:val="4"/>
  </w:num>
  <w:num w:numId="6" w16cid:durableId="547574678">
    <w:abstractNumId w:val="5"/>
  </w:num>
  <w:num w:numId="7" w16cid:durableId="859708753">
    <w:abstractNumId w:val="6"/>
  </w:num>
  <w:num w:numId="8" w16cid:durableId="2052608533">
    <w:abstractNumId w:val="7"/>
  </w:num>
  <w:num w:numId="9" w16cid:durableId="1051878102">
    <w:abstractNumId w:val="8"/>
  </w:num>
  <w:num w:numId="10" w16cid:durableId="1727945630">
    <w:abstractNumId w:val="9"/>
  </w:num>
  <w:num w:numId="11" w16cid:durableId="1943218648">
    <w:abstractNumId w:val="10"/>
  </w:num>
  <w:num w:numId="12" w16cid:durableId="1642886995">
    <w:abstractNumId w:val="11"/>
  </w:num>
  <w:num w:numId="13" w16cid:durableId="2095276947">
    <w:abstractNumId w:val="12"/>
  </w:num>
  <w:num w:numId="14" w16cid:durableId="1558853080">
    <w:abstractNumId w:val="13"/>
  </w:num>
  <w:num w:numId="15" w16cid:durableId="165630973">
    <w:abstractNumId w:val="14"/>
  </w:num>
  <w:num w:numId="16" w16cid:durableId="20769328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C54"/>
    <w:rsid w:val="00022D4F"/>
    <w:rsid w:val="00190A09"/>
    <w:rsid w:val="001D21EC"/>
    <w:rsid w:val="002F1167"/>
    <w:rsid w:val="002F32FD"/>
    <w:rsid w:val="0031060A"/>
    <w:rsid w:val="0043392C"/>
    <w:rsid w:val="0058238E"/>
    <w:rsid w:val="005C1F7E"/>
    <w:rsid w:val="007311F2"/>
    <w:rsid w:val="00832B70"/>
    <w:rsid w:val="008555AD"/>
    <w:rsid w:val="00990352"/>
    <w:rsid w:val="009E5443"/>
    <w:rsid w:val="00A2734C"/>
    <w:rsid w:val="00B26321"/>
    <w:rsid w:val="00B4254F"/>
    <w:rsid w:val="00B94F18"/>
    <w:rsid w:val="00C7447D"/>
    <w:rsid w:val="00E1774E"/>
    <w:rsid w:val="00EC3C54"/>
    <w:rsid w:val="00F73770"/>
    <w:rsid w:val="00FD635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6C500"/>
  <w15:docId w15:val="{773C8007-5E4F-4F53-85BA-75F63BC72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sz w:val="32"/>
      <w:szCs w:val="32"/>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76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style>
  <w:style w:type="paragraph" w:styleId="Subtitle">
    <w:name w:val="Subtitle"/>
    <w:basedOn w:val="Normal"/>
    <w:link w:val="SubtitleChar"/>
    <w:uiPriority w:val="99"/>
    <w:qFormat/>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Pr>
      <w:rFonts w:ascii="Times New Roman" w:eastAsia="Times New Roman" w:hAnsi="Times New Roman" w:cs="Times New Roman"/>
      <w:sz w:val="24"/>
      <w:szCs w:val="24"/>
      <w:u w:val="single"/>
      <w:lang w:val="en-US"/>
    </w:rPr>
  </w:style>
  <w:style w:type="paragraph" w:styleId="ListParagraph">
    <w:name w:val="List Paragraph"/>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basedOn w:val="DefaultParagraphFont"/>
    <w:link w:val="ListParagraph"/>
    <w:uiPriority w:val="34"/>
    <w:qFormat/>
    <w:rPr>
      <w:rFonts w:ascii="Times New Roman" w:eastAsia="Times New Roman" w:hAnsi="Times New Roman" w:cs="Times New Roman"/>
      <w:sz w:val="24"/>
      <w:szCs w:val="24"/>
    </w:rPr>
  </w:style>
  <w:style w:type="paragraph" w:styleId="FootnoteText">
    <w:name w:val="footnote text"/>
    <w:basedOn w:val="Normal"/>
    <w:link w:val="FootnoteTextChar"/>
    <w:uiPriority w:val="9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rPr>
  </w:style>
  <w:style w:type="character" w:styleId="FootnoteReference">
    <w:name w:val="footnote reference"/>
    <w:basedOn w:val="DefaultParagraphFont"/>
    <w:rPr>
      <w:vertAlign w:val="superscript"/>
    </w:rPr>
  </w:style>
  <w:style w:type="character" w:customStyle="1" w:styleId="FontStyle15">
    <w:name w:val="Font Style15"/>
    <w:basedOn w:val="DefaultParagraphFont"/>
    <w:uiPriority w:val="99"/>
    <w:rPr>
      <w:rFonts w:ascii="Times New Roman" w:hAnsi="Times New Roman" w:cs="Times New Roman"/>
      <w:sz w:val="20"/>
      <w:szCs w:val="20"/>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style>
  <w:style w:type="character" w:customStyle="1" w:styleId="CommentReference1">
    <w:name w:val="Comment Reference1"/>
    <w:basedOn w:val="DefaultParagraphFont"/>
    <w:uiPriority w:val="99"/>
    <w:unhideWhenUsed/>
    <w:rPr>
      <w:sz w:val="16"/>
      <w:szCs w:val="16"/>
    </w:rPr>
  </w:style>
  <w:style w:type="paragraph" w:customStyle="1" w:styleId="CommentText1">
    <w:name w:val="Comment Text1"/>
    <w:basedOn w:val="Normal"/>
    <w:link w:val="CommentTextChar"/>
    <w:uiPriority w:val="99"/>
    <w:unhideWhenUse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1"/>
    <w:uiPriority w:val="99"/>
    <w:rPr>
      <w:rFonts w:ascii="Times New Roman" w:eastAsia="Times New Roman" w:hAnsi="Times New Roman" w:cs="Times New Roman"/>
      <w:sz w:val="20"/>
      <w:szCs w:val="20"/>
    </w:rPr>
  </w:style>
  <w:style w:type="paragraph" w:customStyle="1" w:styleId="CommentSubject1">
    <w:name w:val="Comment Subject1"/>
    <w:basedOn w:val="CommentText1"/>
    <w:next w:val="CommentText1"/>
    <w:link w:val="CommentSubjectChar"/>
    <w:semiHidden/>
    <w:unhideWhenUse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sz w:val="20"/>
      <w:szCs w:val="20"/>
    </w:rPr>
  </w:style>
  <w:style w:type="character" w:styleId="Hyperlink">
    <w:name w:val="Hyperlink"/>
    <w:basedOn w:val="DefaultParagraphFont"/>
    <w:uiPriority w:val="99"/>
    <w:rPr>
      <w:color w:val="auto"/>
      <w:u w:val="none"/>
    </w:rPr>
  </w:style>
  <w:style w:type="character" w:customStyle="1" w:styleId="y2iqfc">
    <w:name w:val="y2iqfc"/>
    <w:basedOn w:val="DefaultParagraphFont"/>
  </w:style>
  <w:style w:type="paragraph" w:customStyle="1" w:styleId="Revision1">
    <w:name w:val="Revision1"/>
    <w:uiPriority w:val="99"/>
    <w:semiHidden/>
    <w:pPr>
      <w:spacing w:after="0" w:line="240" w:lineRule="auto"/>
    </w:pPr>
  </w:style>
  <w:style w:type="character" w:customStyle="1" w:styleId="Bodytext9">
    <w:name w:val="Body text (9)_"/>
    <w:basedOn w:val="DefaultParagraphFont"/>
    <w:rPr>
      <w:rFonts w:ascii="Times New Roman" w:hAnsi="Times New Roman" w:cs="Times New Roman"/>
      <w:b/>
      <w:bCs/>
      <w:sz w:val="23"/>
      <w:szCs w:val="23"/>
      <w:shd w:val="clear" w:color="auto" w:fill="FFFFFF"/>
    </w:rPr>
  </w:style>
  <w:style w:type="paragraph" w:customStyle="1" w:styleId="Bodytext90">
    <w:name w:val="Body text (9)"/>
    <w:basedOn w:val="Normal"/>
    <w:pPr>
      <w:shd w:val="clear" w:color="auto" w:fill="FFFFFF"/>
      <w:spacing w:after="0" w:line="274" w:lineRule="exact"/>
    </w:pPr>
    <w:rPr>
      <w:rFonts w:ascii="Times New Roman" w:hAnsi="Times New Roman" w:cs="Times New Roman"/>
      <w:b/>
      <w:bCs/>
      <w:sz w:val="23"/>
      <w:szCs w:val="23"/>
    </w:rPr>
  </w:style>
  <w:style w:type="paragraph" w:styleId="Title">
    <w:name w:val="Title"/>
    <w:basedOn w:val="Normal"/>
    <w:link w:val="TitleChar"/>
    <w:uiPriority w:val="10"/>
    <w:qFormat/>
    <w:pPr>
      <w:spacing w:after="0" w:line="240" w:lineRule="auto"/>
      <w:jc w:val="center"/>
    </w:pPr>
    <w:rPr>
      <w:rFonts w:ascii="Arial" w:eastAsia="Times New Roman" w:hAnsi="Arial" w:cs="Times New Roman"/>
      <w:b/>
      <w:sz w:val="36"/>
      <w:szCs w:val="20"/>
      <w:lang w:val="de-CH" w:eastAsia="de-CH"/>
    </w:rPr>
  </w:style>
  <w:style w:type="character" w:customStyle="1" w:styleId="TitleChar">
    <w:name w:val="Title Char"/>
    <w:basedOn w:val="DefaultParagraphFont"/>
    <w:link w:val="Title"/>
    <w:uiPriority w:val="10"/>
    <w:rPr>
      <w:rFonts w:ascii="Arial" w:eastAsia="Times New Roman" w:hAnsi="Arial" w:cs="Times New Roman"/>
      <w:b/>
      <w:sz w:val="36"/>
      <w:szCs w:val="20"/>
      <w:lang w:val="de-CH" w:eastAsia="de-CH"/>
    </w:rPr>
  </w:style>
  <w:style w:type="numbering" w:customStyle="1" w:styleId="CurrentList1">
    <w:name w:val="Current List1"/>
    <w:uiPriority w:val="99"/>
    <w:pPr>
      <w:numPr>
        <w:numId w:val="1"/>
      </w:numPr>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sz w:val="3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numbering" w:customStyle="1" w:styleId="CurrentList2">
    <w:name w:val="Current List2"/>
    <w:uiPriority w:val="99"/>
    <w:pPr>
      <w:numPr>
        <w:numId w:val="13"/>
      </w:numPr>
    </w:p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sz w:val="24"/>
      <w:szCs w:val="24"/>
    </w:rPr>
  </w:style>
  <w:style w:type="numbering" w:customStyle="1" w:styleId="CurrentList3">
    <w:name w:val="Current List3"/>
    <w:uiPriority w:val="99"/>
    <w:pPr>
      <w:numPr>
        <w:numId w:val="8"/>
      </w:numPr>
    </w:pPr>
  </w:style>
  <w:style w:type="numbering" w:customStyle="1" w:styleId="CurrentList4">
    <w:name w:val="Current List4"/>
    <w:uiPriority w:val="99"/>
    <w:pPr>
      <w:numPr>
        <w:numId w:val="3"/>
      </w:numPr>
    </w:pPr>
  </w:style>
  <w:style w:type="character" w:styleId="CommentReference">
    <w:name w:val="annotation reference"/>
    <w:basedOn w:val="DefaultParagraphFont"/>
    <w:uiPriority w:val="99"/>
    <w:semiHidden/>
    <w:unhideWhenUsed/>
    <w:rsid w:val="00B4254F"/>
    <w:rPr>
      <w:sz w:val="16"/>
      <w:szCs w:val="16"/>
    </w:rPr>
  </w:style>
  <w:style w:type="paragraph" w:styleId="CommentText">
    <w:name w:val="annotation text"/>
    <w:basedOn w:val="Normal"/>
    <w:link w:val="CommentTextChar1"/>
    <w:uiPriority w:val="99"/>
    <w:unhideWhenUsed/>
    <w:rsid w:val="00B4254F"/>
    <w:pPr>
      <w:spacing w:line="240" w:lineRule="auto"/>
    </w:pPr>
    <w:rPr>
      <w:sz w:val="20"/>
      <w:szCs w:val="20"/>
    </w:rPr>
  </w:style>
  <w:style w:type="character" w:customStyle="1" w:styleId="CommentTextChar1">
    <w:name w:val="Comment Text Char1"/>
    <w:basedOn w:val="DefaultParagraphFont"/>
    <w:link w:val="CommentText"/>
    <w:uiPriority w:val="99"/>
    <w:rsid w:val="00B4254F"/>
    <w:rPr>
      <w:sz w:val="20"/>
      <w:szCs w:val="20"/>
    </w:rPr>
  </w:style>
  <w:style w:type="paragraph" w:styleId="CommentSubject">
    <w:name w:val="annotation subject"/>
    <w:basedOn w:val="CommentText"/>
    <w:next w:val="CommentText"/>
    <w:link w:val="CommentSubjectChar1"/>
    <w:semiHidden/>
    <w:unhideWhenUsed/>
    <w:rsid w:val="00B4254F"/>
    <w:rPr>
      <w:b/>
      <w:bCs/>
    </w:rPr>
  </w:style>
  <w:style w:type="character" w:customStyle="1" w:styleId="CommentSubjectChar1">
    <w:name w:val="Comment Subject Char1"/>
    <w:basedOn w:val="CommentTextChar1"/>
    <w:link w:val="CommentSubject"/>
    <w:semiHidden/>
    <w:rsid w:val="00B4254F"/>
    <w:rPr>
      <w:b/>
      <w:bCs/>
      <w:sz w:val="20"/>
      <w:szCs w:val="20"/>
    </w:rPr>
  </w:style>
  <w:style w:type="paragraph" w:styleId="Revision">
    <w:name w:val="Revision"/>
    <w:hidden/>
    <w:uiPriority w:val="99"/>
    <w:semiHidden/>
    <w:rsid w:val="001D21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04DDC1A14DAF048973DD4141553965F" ma:contentTypeVersion="7" ma:contentTypeDescription="Kurkite naują dokumentą." ma:contentTypeScope="" ma:versionID="3ea94ff50dc0372d0e7fd565bc296ec5">
  <xsd:schema xmlns:xsd="http://www.w3.org/2001/XMLSchema" xmlns:xs="http://www.w3.org/2001/XMLSchema" xmlns:p="http://schemas.microsoft.com/office/2006/metadata/properties" xmlns:ns2="2d258dbd-ec60-4d59-8b34-41983bff9a49" targetNamespace="http://schemas.microsoft.com/office/2006/metadata/properties" ma:root="true" ma:fieldsID="6efc4abb54bf6e8d249b29dc7cfb3f31" ns2:_="">
    <xsd:import namespace="2d258dbd-ec60-4d59-8b34-41983bff9a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258dbd-ec60-4d59-8b34-41983bff9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9A2000CC-22A7-4EF7-9B9E-AF3B9A8073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B53DAE-E985-4D62-AC37-B34D05A9D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258dbd-ec60-4d59-8b34-41983bff9a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F99F04-2C33-43A7-9B09-35EFD31343A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16365</TotalTime>
  <Pages>8</Pages>
  <Words>2617</Words>
  <Characters>18938</Characters>
  <Application>Microsoft Office Word</Application>
  <DocSecurity>0</DocSecurity>
  <Lines>386</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Viktorija Jakovleva-Ogut</cp:lastModifiedBy>
  <cp:revision>1919</cp:revision>
  <dcterms:created xsi:type="dcterms:W3CDTF">2025-09-18T07:42:00Z</dcterms:created>
  <dcterms:modified xsi:type="dcterms:W3CDTF">2026-05-08T05:40:00Z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0x010100C04DDC1A14DAF048973DD4141553965F</vt:lpwstr>
  </property>
  <property fmtid="{D5CDD505-2E9C-101B-9397-08002B2CF9AE}" pid="10" name="docLang">
    <vt:lpwstr>lt</vt:lpwstr>
  </property>
</Properties>
</file>